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_GBK"/>
          <w:color w:val="000000" w:themeColor="text1"/>
          <w:sz w:val="44"/>
          <w:szCs w:val="44"/>
          <w14:textFill>
            <w14:solidFill>
              <w14:schemeClr w14:val="tx1"/>
            </w14:solidFill>
          </w14:textFill>
        </w:rPr>
      </w:pPr>
      <w:r>
        <w:rPr>
          <w:rFonts w:eastAsia="方正小标宋_GBK"/>
          <w:color w:val="000000" w:themeColor="text1"/>
          <w:sz w:val="44"/>
          <w:szCs w:val="44"/>
          <w14:textFill>
            <w14:solidFill>
              <w14:schemeClr w14:val="tx1"/>
            </w14:solidFill>
          </w14:textFill>
        </w:rPr>
        <w:t>关于调整住房公积金有关政策的通知</w:t>
      </w:r>
    </w:p>
    <w:p>
      <w:pPr>
        <w:spacing w:line="580" w:lineRule="exact"/>
        <w:jc w:val="center"/>
        <w:rPr>
          <w:rFonts w:eastAsia="方正小标宋_GBK"/>
          <w:color w:val="000000" w:themeColor="text1"/>
          <w:sz w:val="44"/>
          <w:szCs w:val="44"/>
          <w14:textFill>
            <w14:solidFill>
              <w14:schemeClr w14:val="tx1"/>
            </w14:solidFill>
          </w14:textFill>
        </w:rPr>
      </w:pPr>
    </w:p>
    <w:p>
      <w:pPr>
        <w:spacing w:line="580" w:lineRule="exact"/>
        <w:jc w:val="center"/>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宿公积金委</w:t>
      </w:r>
      <w:r>
        <w:rPr>
          <w:rFonts w:eastAsia="方正仿宋_GBK"/>
          <w:color w:val="000000" w:themeColor="text1"/>
          <w:kern w:val="0"/>
          <w:sz w:val="32"/>
          <w:szCs w:val="32"/>
          <w14:textFill>
            <w14:solidFill>
              <w14:schemeClr w14:val="tx1"/>
            </w14:solidFill>
          </w14:textFill>
        </w:rPr>
        <w:t>〔2023〕</w:t>
      </w:r>
      <w:r>
        <w:rPr>
          <w:rFonts w:hint="eastAsia" w:eastAsia="方正仿宋_GBK"/>
          <w:color w:val="000000" w:themeColor="text1"/>
          <w:kern w:val="0"/>
          <w:sz w:val="32"/>
          <w:szCs w:val="32"/>
          <w:lang w:val="en-US" w:eastAsia="zh-CN"/>
          <w14:textFill>
            <w14:solidFill>
              <w14:schemeClr w14:val="tx1"/>
            </w14:solidFill>
          </w14:textFill>
        </w:rPr>
        <w:t>2</w:t>
      </w:r>
      <w:r>
        <w:rPr>
          <w:rFonts w:eastAsia="方正仿宋_GBK"/>
          <w:color w:val="000000" w:themeColor="text1"/>
          <w:sz w:val="32"/>
          <w:szCs w:val="32"/>
          <w14:textFill>
            <w14:solidFill>
              <w14:schemeClr w14:val="tx1"/>
            </w14:solidFill>
          </w14:textFill>
        </w:rPr>
        <w:t>号</w:t>
      </w:r>
    </w:p>
    <w:p>
      <w:pPr>
        <w:spacing w:line="580" w:lineRule="exact"/>
        <w:jc w:val="center"/>
        <w:rPr>
          <w:rFonts w:eastAsia="方正仿宋_GBK"/>
          <w:color w:val="000000" w:themeColor="text1"/>
          <w:sz w:val="32"/>
          <w:szCs w:val="32"/>
          <w14:textFill>
            <w14:solidFill>
              <w14:schemeClr w14:val="tx1"/>
            </w14:solidFill>
          </w14:textFill>
        </w:rPr>
      </w:pPr>
    </w:p>
    <w:p>
      <w:pPr>
        <w:spacing w:line="580" w:lineRule="exact"/>
        <w:jc w:val="lef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市住房公积金管理中心，各有关</w:t>
      </w:r>
      <w:r>
        <w:rPr>
          <w:rFonts w:hint="eastAsia" w:eastAsia="方正仿宋_GBK"/>
          <w:color w:val="000000" w:themeColor="text1"/>
          <w:sz w:val="32"/>
          <w:szCs w:val="32"/>
          <w14:textFill>
            <w14:solidFill>
              <w14:schemeClr w14:val="tx1"/>
            </w14:solidFill>
          </w14:textFill>
        </w:rPr>
        <w:t>缴存</w:t>
      </w:r>
      <w:r>
        <w:rPr>
          <w:rFonts w:eastAsia="方正仿宋_GBK"/>
          <w:color w:val="000000" w:themeColor="text1"/>
          <w:sz w:val="32"/>
          <w:szCs w:val="32"/>
          <w14:textFill>
            <w14:solidFill>
              <w14:schemeClr w14:val="tx1"/>
            </w14:solidFill>
          </w14:textFill>
        </w:rPr>
        <w:t>单位、</w:t>
      </w:r>
      <w:r>
        <w:rPr>
          <w:rFonts w:hint="eastAsia" w:eastAsia="方正仿宋_GBK"/>
          <w:color w:val="000000" w:themeColor="text1"/>
          <w:sz w:val="32"/>
          <w:szCs w:val="32"/>
          <w14:textFill>
            <w14:solidFill>
              <w14:schemeClr w14:val="tx1"/>
            </w14:solidFill>
          </w14:textFill>
        </w:rPr>
        <w:t>缴存</w:t>
      </w:r>
      <w:r>
        <w:rPr>
          <w:rFonts w:eastAsia="方正仿宋_GBK"/>
          <w:color w:val="000000" w:themeColor="text1"/>
          <w:sz w:val="32"/>
          <w:szCs w:val="32"/>
          <w14:textFill>
            <w14:solidFill>
              <w14:schemeClr w14:val="tx1"/>
            </w14:solidFill>
          </w14:textFill>
        </w:rPr>
        <w:t>人：</w:t>
      </w:r>
    </w:p>
    <w:p>
      <w:pPr>
        <w:spacing w:line="58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为进一步降低企业成本，支持缴存人合理住房消费需求，根据国务院《住房公积金管理条例》等文件规定，</w:t>
      </w:r>
      <w:r>
        <w:rPr>
          <w:rFonts w:eastAsia="方正仿宋_GBK"/>
          <w:color w:val="000000" w:themeColor="text1"/>
          <w:kern w:val="0"/>
          <w:sz w:val="32"/>
          <w:szCs w:val="32"/>
          <w14:textFill>
            <w14:solidFill>
              <w14:schemeClr w14:val="tx1"/>
            </w14:solidFill>
          </w14:textFill>
        </w:rPr>
        <w:t>现就调整住房公积金有关政策通知如下：</w:t>
      </w:r>
    </w:p>
    <w:p>
      <w:pPr>
        <w:spacing w:line="580" w:lineRule="exact"/>
        <w:ind w:firstLine="640" w:firstLineChars="200"/>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eastAsia="方正黑体_GBK"/>
          <w:color w:val="000000" w:themeColor="text1"/>
          <w:sz w:val="32"/>
          <w:szCs w:val="32"/>
          <w:shd w:val="clear" w:color="auto" w:fill="FFFFFF"/>
          <w14:textFill>
            <w14:solidFill>
              <w14:schemeClr w14:val="tx1"/>
            </w14:solidFill>
          </w14:textFill>
        </w:rPr>
        <w:t>一、优化住房公积金缴存比例调整政策</w:t>
      </w:r>
    </w:p>
    <w:p>
      <w:pPr>
        <w:spacing w:line="58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企业可在5%至12%区间内，自主确定住房公积金缴存比例。同一单位职工的缴存比例应一致，单位缴存比例和职工缴存比例应一致。企业降低住房公积金缴存比例</w:t>
      </w:r>
      <w:r>
        <w:rPr>
          <w:rFonts w:hint="eastAsia" w:eastAsia="方正仿宋_GBK"/>
          <w:color w:val="000000" w:themeColor="text1"/>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应经职工代表大会或者工会讨论通过后，报市住房公积金管理中心备案</w:t>
      </w:r>
      <w:r>
        <w:rPr>
          <w:rFonts w:hint="eastAsia" w:eastAsia="方正仿宋_GBK"/>
          <w:color w:val="000000" w:themeColor="text1"/>
          <w:sz w:val="32"/>
          <w:szCs w:val="32"/>
          <w14:textFill>
            <w14:solidFill>
              <w14:schemeClr w14:val="tx1"/>
            </w14:solidFill>
          </w14:textFill>
        </w:rPr>
        <w:t>，每年只能调整一次</w:t>
      </w:r>
      <w:r>
        <w:rPr>
          <w:rFonts w:eastAsia="方正仿宋_GBK"/>
          <w:color w:val="000000" w:themeColor="text1"/>
          <w:sz w:val="32"/>
          <w:szCs w:val="32"/>
          <w14:textFill>
            <w14:solidFill>
              <w14:schemeClr w14:val="tx1"/>
            </w14:solidFill>
          </w14:textFill>
        </w:rPr>
        <w:t>。</w:t>
      </w:r>
    </w:p>
    <w:p>
      <w:pPr>
        <w:spacing w:line="580" w:lineRule="exact"/>
        <w:ind w:firstLine="640" w:firstLineChars="200"/>
        <w:rPr>
          <w:rFonts w:eastAsia="方正黑体_GBK"/>
          <w:color w:val="000000" w:themeColor="text1"/>
          <w:sz w:val="32"/>
          <w:szCs w:val="32"/>
          <w:shd w:val="clear" w:color="auto" w:fill="FFFFFF"/>
          <w14:textFill>
            <w14:solidFill>
              <w14:schemeClr w14:val="tx1"/>
            </w14:solidFill>
          </w14:textFill>
        </w:rPr>
      </w:pPr>
      <w:r>
        <w:rPr>
          <w:rFonts w:eastAsia="方正黑体_GBK"/>
          <w:color w:val="000000" w:themeColor="text1"/>
          <w:sz w:val="32"/>
          <w:szCs w:val="32"/>
          <w:shd w:val="clear" w:color="auto" w:fill="FFFFFF"/>
          <w14:textFill>
            <w14:solidFill>
              <w14:schemeClr w14:val="tx1"/>
            </w14:solidFill>
          </w14:textFill>
        </w:rPr>
        <w:t>二、提高租房提取住房公积金最高额度</w:t>
      </w:r>
    </w:p>
    <w:p>
      <w:pPr>
        <w:spacing w:line="580" w:lineRule="exact"/>
        <w:ind w:firstLine="640" w:firstLineChars="200"/>
        <w:rPr>
          <w:rFonts w:eastAsia="方正仿宋_GBK"/>
          <w:color w:val="000000" w:themeColor="text1"/>
          <w:kern w:val="0"/>
          <w:sz w:val="32"/>
          <w:szCs w:val="32"/>
          <w14:textFill>
            <w14:solidFill>
              <w14:schemeClr w14:val="tx1"/>
            </w14:solidFill>
          </w14:textFill>
        </w:rPr>
      </w:pPr>
      <w:r>
        <w:rPr>
          <w:rFonts w:eastAsia="方正仿宋_GBK"/>
          <w:color w:val="000000" w:themeColor="text1"/>
          <w:kern w:val="0"/>
          <w:sz w:val="32"/>
          <w:szCs w:val="32"/>
          <w14:textFill>
            <w14:solidFill>
              <w14:schemeClr w14:val="tx1"/>
            </w14:solidFill>
          </w14:textFill>
        </w:rPr>
        <w:t>提取住房公积金支付自住住房房租的，单身的缴存人，每月最高提取金额为1300元；已婚的缴存人，夫妻双方合计每月最高提取金额为1</w:t>
      </w:r>
      <w:r>
        <w:rPr>
          <w:rFonts w:hint="eastAsia" w:eastAsia="方正仿宋_GBK"/>
          <w:color w:val="000000" w:themeColor="text1"/>
          <w:kern w:val="0"/>
          <w:sz w:val="32"/>
          <w:szCs w:val="32"/>
          <w14:textFill>
            <w14:solidFill>
              <w14:schemeClr w14:val="tx1"/>
            </w14:solidFill>
          </w14:textFill>
        </w:rPr>
        <w:t>6</w:t>
      </w:r>
      <w:r>
        <w:rPr>
          <w:rFonts w:eastAsia="方正仿宋_GBK"/>
          <w:color w:val="000000" w:themeColor="text1"/>
          <w:kern w:val="0"/>
          <w:sz w:val="32"/>
          <w:szCs w:val="32"/>
          <w14:textFill>
            <w14:solidFill>
              <w14:schemeClr w14:val="tx1"/>
            </w14:solidFill>
          </w14:textFill>
        </w:rPr>
        <w:t>00元。房租支出低于最高额度的，按实际租金支付。</w:t>
      </w:r>
    </w:p>
    <w:p>
      <w:pPr>
        <w:spacing w:line="580" w:lineRule="exact"/>
        <w:ind w:firstLine="640" w:firstLineChars="200"/>
        <w:rPr>
          <w:rFonts w:eastAsia="方正黑体_GBK"/>
          <w:color w:val="000000" w:themeColor="text1"/>
          <w:sz w:val="32"/>
          <w:szCs w:val="32"/>
          <w:shd w:val="clear" w:color="auto" w:fill="FFFFFF"/>
          <w14:textFill>
            <w14:solidFill>
              <w14:schemeClr w14:val="tx1"/>
            </w14:solidFill>
          </w14:textFill>
        </w:rPr>
      </w:pPr>
      <w:r>
        <w:rPr>
          <w:rFonts w:eastAsia="方正黑体_GBK"/>
          <w:color w:val="000000" w:themeColor="text1"/>
          <w:sz w:val="32"/>
          <w:szCs w:val="32"/>
          <w:shd w:val="clear" w:color="auto" w:fill="FFFFFF"/>
          <w14:textFill>
            <w14:solidFill>
              <w14:schemeClr w14:val="tx1"/>
            </w14:solidFill>
          </w14:textFill>
        </w:rPr>
        <w:t>三、</w:t>
      </w:r>
      <w:r>
        <w:rPr>
          <w:rFonts w:hint="eastAsia" w:eastAsia="方正黑体_GBK"/>
          <w:color w:val="000000" w:themeColor="text1"/>
          <w:sz w:val="32"/>
          <w:szCs w:val="32"/>
          <w:shd w:val="clear" w:color="auto" w:fill="FFFFFF"/>
          <w14:textFill>
            <w14:solidFill>
              <w14:schemeClr w14:val="tx1"/>
            </w14:solidFill>
          </w14:textFill>
        </w:rPr>
        <w:t>增加</w:t>
      </w:r>
      <w:r>
        <w:rPr>
          <w:rFonts w:eastAsia="方正黑体_GBK"/>
          <w:color w:val="000000" w:themeColor="text1"/>
          <w:sz w:val="32"/>
          <w:szCs w:val="32"/>
          <w:shd w:val="clear" w:color="auto" w:fill="FFFFFF"/>
          <w14:textFill>
            <w14:solidFill>
              <w14:schemeClr w14:val="tx1"/>
            </w14:solidFill>
          </w14:textFill>
        </w:rPr>
        <w:t>非受托银行商转公贷款业务</w:t>
      </w:r>
    </w:p>
    <w:p>
      <w:pPr>
        <w:spacing w:line="580" w:lineRule="exact"/>
        <w:ind w:firstLine="640" w:firstLineChars="200"/>
        <w:rPr>
          <w:rFonts w:hint="eastAsia" w:eastAsia="方正仿宋_GBK"/>
          <w:color w:val="000000" w:themeColor="text1"/>
          <w:kern w:val="0"/>
          <w:sz w:val="32"/>
          <w:szCs w:val="32"/>
          <w:lang w:val="en-US" w:eastAsia="zh-CN"/>
          <w14:textFill>
            <w14:solidFill>
              <w14:schemeClr w14:val="tx1"/>
            </w14:solidFill>
          </w14:textFill>
        </w:rPr>
      </w:pPr>
      <w:r>
        <w:rPr>
          <w:rFonts w:eastAsia="方正仿宋_GBK"/>
          <w:color w:val="000000" w:themeColor="text1"/>
          <w:kern w:val="0"/>
          <w:sz w:val="32"/>
          <w:szCs w:val="32"/>
          <w14:textFill>
            <w14:solidFill>
              <w14:schemeClr w14:val="tx1"/>
            </w14:solidFill>
          </w14:textFill>
        </w:rPr>
        <w:t>在全市非住房公积金受托银行开办商业性个人住房贷款转住房公积金个人住房贷款（以下简称商转公贷款）业务。</w:t>
      </w:r>
      <w:r>
        <w:rPr>
          <w:rFonts w:hint="eastAsia" w:eastAsia="方正仿宋_GBK"/>
          <w:color w:val="000000" w:themeColor="text1"/>
          <w:kern w:val="0"/>
          <w:sz w:val="32"/>
          <w:szCs w:val="32"/>
          <w:lang w:eastAsia="zh-CN"/>
          <w14:textFill>
            <w14:solidFill>
              <w14:schemeClr w14:val="tx1"/>
            </w14:solidFill>
          </w14:textFill>
        </w:rPr>
        <w:t>非受托银行商转公贷款应</w:t>
      </w:r>
      <w:r>
        <w:rPr>
          <w:rFonts w:eastAsia="方正仿宋_GBK"/>
          <w:color w:val="000000" w:themeColor="text1"/>
          <w:kern w:val="0"/>
          <w:sz w:val="32"/>
          <w:szCs w:val="32"/>
          <w14:textFill>
            <w14:solidFill>
              <w14:schemeClr w14:val="tx1"/>
            </w14:solidFill>
          </w14:textFill>
        </w:rPr>
        <w:t>满足《宿迁市商业性个人住房贷款转住房公积金个人住房贷款管理暂行办法》（宿公积金委〔2022〕4号）文件要求</w:t>
      </w:r>
      <w:r>
        <w:rPr>
          <w:rFonts w:hint="eastAsia" w:eastAsia="方正仿宋_GBK"/>
          <w:color w:val="000000" w:themeColor="text1"/>
          <w:kern w:val="0"/>
          <w:sz w:val="32"/>
          <w:szCs w:val="32"/>
          <w:lang w:eastAsia="zh-CN"/>
          <w14:textFill>
            <w14:solidFill>
              <w14:schemeClr w14:val="tx1"/>
            </w14:solidFill>
          </w14:textFill>
        </w:rPr>
        <w:t>，</w:t>
      </w:r>
      <w:r>
        <w:rPr>
          <w:rFonts w:hint="eastAsia" w:eastAsia="方正仿宋_GBK"/>
          <w:color w:val="000000" w:themeColor="text1"/>
          <w:kern w:val="0"/>
          <w:sz w:val="32"/>
          <w:szCs w:val="32"/>
          <w:lang w:val="en-US" w:eastAsia="zh-CN"/>
          <w14:textFill>
            <w14:solidFill>
              <w14:schemeClr w14:val="tx1"/>
            </w14:solidFill>
          </w14:textFill>
        </w:rPr>
        <w:t>采取“先清后贷”的方式办理，即商转公贷款审批通过后，贷款申请人应自筹资金提前全部结清商业住房贷款本息。商转公贷款不支持组合贷款且申请前贷款已结清的，不予受理。</w:t>
      </w:r>
    </w:p>
    <w:p>
      <w:pPr>
        <w:spacing w:line="580" w:lineRule="exact"/>
        <w:ind w:firstLine="640" w:firstLineChars="200"/>
        <w:rPr>
          <w:rFonts w:eastAsia="方正黑体_GBK"/>
          <w:color w:val="000000" w:themeColor="text1"/>
          <w:sz w:val="32"/>
          <w:szCs w:val="32"/>
          <w:shd w:val="clear" w:color="auto" w:fill="FFFFFF"/>
          <w14:textFill>
            <w14:solidFill>
              <w14:schemeClr w14:val="tx1"/>
            </w14:solidFill>
          </w14:textFill>
        </w:rPr>
      </w:pPr>
      <w:r>
        <w:rPr>
          <w:rFonts w:eastAsia="方正黑体_GBK"/>
          <w:color w:val="000000" w:themeColor="text1"/>
          <w:sz w:val="32"/>
          <w:szCs w:val="32"/>
          <w:shd w:val="clear" w:color="auto" w:fill="FFFFFF"/>
          <w14:textFill>
            <w14:solidFill>
              <w14:schemeClr w14:val="tx1"/>
            </w14:solidFill>
          </w14:textFill>
        </w:rPr>
        <w:t>四、</w:t>
      </w:r>
      <w:r>
        <w:rPr>
          <w:rFonts w:hint="eastAsia" w:eastAsia="方正黑体_GBK"/>
          <w:color w:val="000000" w:themeColor="text1"/>
          <w:sz w:val="32"/>
          <w:szCs w:val="32"/>
          <w:shd w:val="clear" w:color="auto" w:fill="FFFFFF"/>
          <w:lang w:eastAsia="zh-CN"/>
          <w14:textFill>
            <w14:solidFill>
              <w14:schemeClr w14:val="tx1"/>
            </w14:solidFill>
          </w14:textFill>
        </w:rPr>
        <w:t>细</w:t>
      </w:r>
      <w:r>
        <w:rPr>
          <w:rFonts w:hint="eastAsia" w:eastAsia="方正黑体_GBK"/>
          <w:color w:val="000000" w:themeColor="text1"/>
          <w:sz w:val="32"/>
          <w:szCs w:val="32"/>
          <w:shd w:val="clear" w:color="auto" w:fill="FFFFFF"/>
          <w14:textFill>
            <w14:solidFill>
              <w14:schemeClr w14:val="tx1"/>
            </w14:solidFill>
          </w14:textFill>
        </w:rPr>
        <w:t>化住房公积金</w:t>
      </w:r>
      <w:r>
        <w:rPr>
          <w:rFonts w:eastAsia="方正黑体_GBK"/>
          <w:color w:val="000000" w:themeColor="text1"/>
          <w:sz w:val="32"/>
          <w:szCs w:val="32"/>
          <w:shd w:val="clear" w:color="auto" w:fill="FFFFFF"/>
          <w14:textFill>
            <w14:solidFill>
              <w14:schemeClr w14:val="tx1"/>
            </w14:solidFill>
          </w14:textFill>
        </w:rPr>
        <w:t>贷款</w:t>
      </w:r>
      <w:r>
        <w:rPr>
          <w:rFonts w:hint="eastAsia" w:eastAsia="方正黑体_GBK"/>
          <w:color w:val="000000" w:themeColor="text1"/>
          <w:sz w:val="32"/>
          <w:szCs w:val="32"/>
          <w:shd w:val="clear" w:color="auto" w:fill="FFFFFF"/>
          <w14:textFill>
            <w14:solidFill>
              <w14:schemeClr w14:val="tx1"/>
            </w14:solidFill>
          </w14:textFill>
        </w:rPr>
        <w:t>放款轮候</w:t>
      </w:r>
      <w:r>
        <w:rPr>
          <w:rFonts w:eastAsia="方正黑体_GBK"/>
          <w:color w:val="000000" w:themeColor="text1"/>
          <w:sz w:val="32"/>
          <w:szCs w:val="32"/>
          <w:shd w:val="clear" w:color="auto" w:fill="FFFFFF"/>
          <w14:textFill>
            <w14:solidFill>
              <w14:schemeClr w14:val="tx1"/>
            </w14:solidFill>
          </w14:textFill>
        </w:rPr>
        <w:t>机制</w:t>
      </w:r>
    </w:p>
    <w:p>
      <w:pPr>
        <w:spacing w:line="580" w:lineRule="exact"/>
        <w:ind w:firstLine="640" w:firstLineChars="200"/>
        <w:rPr>
          <w:rFonts w:eastAsia="方正仿宋_GBK"/>
          <w:color w:val="000000" w:themeColor="text1"/>
          <w:kern w:val="0"/>
          <w:sz w:val="32"/>
          <w:szCs w:val="32"/>
          <w14:textFill>
            <w14:solidFill>
              <w14:schemeClr w14:val="tx1"/>
            </w14:solidFill>
          </w14:textFill>
        </w:rPr>
      </w:pPr>
      <w:r>
        <w:rPr>
          <w:rFonts w:eastAsia="方正仿宋_GBK"/>
          <w:color w:val="000000" w:themeColor="text1"/>
          <w:kern w:val="0"/>
          <w:sz w:val="32"/>
          <w:szCs w:val="32"/>
          <w14:textFill>
            <w14:solidFill>
              <w14:schemeClr w14:val="tx1"/>
            </w14:solidFill>
          </w14:textFill>
        </w:rPr>
        <w:t>根据我市住房公积金流动性状况，</w:t>
      </w:r>
      <w:r>
        <w:rPr>
          <w:rFonts w:hint="eastAsia" w:eastAsia="方正仿宋_GBK"/>
          <w:color w:val="000000" w:themeColor="text1"/>
          <w:kern w:val="0"/>
          <w:sz w:val="32"/>
          <w:szCs w:val="32"/>
          <w14:textFill>
            <w14:solidFill>
              <w14:schemeClr w14:val="tx1"/>
            </w14:solidFill>
          </w14:textFill>
        </w:rPr>
        <w:t>优化住房公积金</w:t>
      </w:r>
      <w:r>
        <w:rPr>
          <w:rFonts w:eastAsia="方正仿宋_GBK"/>
          <w:color w:val="000000" w:themeColor="text1"/>
          <w:kern w:val="0"/>
          <w:sz w:val="32"/>
          <w:szCs w:val="32"/>
          <w14:textFill>
            <w14:solidFill>
              <w14:schemeClr w14:val="tx1"/>
            </w14:solidFill>
          </w14:textFill>
        </w:rPr>
        <w:t>贷款</w:t>
      </w:r>
      <w:r>
        <w:rPr>
          <w:rFonts w:hint="eastAsia" w:eastAsia="方正仿宋_GBK"/>
          <w:color w:val="000000" w:themeColor="text1"/>
          <w:kern w:val="0"/>
          <w:sz w:val="32"/>
          <w:szCs w:val="32"/>
          <w14:textFill>
            <w14:solidFill>
              <w14:schemeClr w14:val="tx1"/>
            </w14:solidFill>
          </w14:textFill>
        </w:rPr>
        <w:t>放款轮候</w:t>
      </w:r>
      <w:r>
        <w:rPr>
          <w:rFonts w:eastAsia="方正仿宋_GBK"/>
          <w:color w:val="000000" w:themeColor="text1"/>
          <w:kern w:val="0"/>
          <w:sz w:val="32"/>
          <w:szCs w:val="32"/>
          <w14:textFill>
            <w14:solidFill>
              <w14:schemeClr w14:val="tx1"/>
            </w14:solidFill>
          </w14:textFill>
        </w:rPr>
        <w:t>机制。当住房公积金个贷率低于93%（不含）时，</w:t>
      </w:r>
      <w:r>
        <w:rPr>
          <w:rFonts w:hint="eastAsia" w:eastAsia="方正仿宋_GBK"/>
          <w:color w:val="000000" w:themeColor="text1"/>
          <w:kern w:val="0"/>
          <w:sz w:val="32"/>
          <w:szCs w:val="32"/>
          <w14:textFill>
            <w14:solidFill>
              <w14:schemeClr w14:val="tx1"/>
            </w14:solidFill>
          </w14:textFill>
        </w:rPr>
        <w:t>住房公积金</w:t>
      </w:r>
      <w:r>
        <w:rPr>
          <w:rFonts w:eastAsia="方正仿宋_GBK"/>
          <w:color w:val="000000" w:themeColor="text1"/>
          <w:kern w:val="0"/>
          <w:sz w:val="32"/>
          <w:szCs w:val="32"/>
          <w14:textFill>
            <w14:solidFill>
              <w14:schemeClr w14:val="tx1"/>
            </w14:solidFill>
          </w14:textFill>
        </w:rPr>
        <w:t>贷款正常受理，贷款发放无需轮候</w:t>
      </w:r>
      <w:r>
        <w:rPr>
          <w:rFonts w:hint="eastAsia" w:eastAsia="方正仿宋_GBK"/>
          <w:color w:val="000000" w:themeColor="text1"/>
          <w:kern w:val="0"/>
          <w:sz w:val="32"/>
          <w:szCs w:val="32"/>
          <w:lang w:eastAsia="zh-CN"/>
          <w14:textFill>
            <w14:solidFill>
              <w14:schemeClr w14:val="tx1"/>
            </w14:solidFill>
          </w14:textFill>
        </w:rPr>
        <w:t>；</w:t>
      </w:r>
      <w:r>
        <w:rPr>
          <w:rFonts w:eastAsia="方正仿宋_GBK"/>
          <w:color w:val="000000" w:themeColor="text1"/>
          <w:kern w:val="0"/>
          <w:sz w:val="32"/>
          <w:szCs w:val="32"/>
          <w14:textFill>
            <w14:solidFill>
              <w14:schemeClr w14:val="tx1"/>
            </w14:solidFill>
          </w14:textFill>
        </w:rPr>
        <w:t>当住房公积金个贷率在93%（含）以上95%（不含）以下时，且住房公积金资金净流量连续3个月为负数，</w:t>
      </w:r>
      <w:r>
        <w:rPr>
          <w:rFonts w:hint="eastAsia" w:eastAsia="方正仿宋_GBK"/>
          <w:color w:val="000000" w:themeColor="text1"/>
          <w:kern w:val="0"/>
          <w:sz w:val="32"/>
          <w:szCs w:val="32"/>
          <w14:textFill>
            <w14:solidFill>
              <w14:schemeClr w14:val="tx1"/>
            </w14:solidFill>
          </w14:textFill>
        </w:rPr>
        <w:t>住房公积金</w:t>
      </w:r>
      <w:r>
        <w:rPr>
          <w:rFonts w:eastAsia="方正仿宋_GBK"/>
          <w:color w:val="000000" w:themeColor="text1"/>
          <w:kern w:val="0"/>
          <w:sz w:val="32"/>
          <w:szCs w:val="32"/>
          <w14:textFill>
            <w14:solidFill>
              <w14:schemeClr w14:val="tx1"/>
            </w14:solidFill>
          </w14:textFill>
        </w:rPr>
        <w:t>贷款发放实行轮候制，轮候时间2个月</w:t>
      </w:r>
      <w:r>
        <w:rPr>
          <w:rFonts w:hint="eastAsia" w:eastAsia="方正仿宋_GBK"/>
          <w:color w:val="000000" w:themeColor="text1"/>
          <w:kern w:val="0"/>
          <w:sz w:val="32"/>
          <w:szCs w:val="32"/>
          <w:lang w:eastAsia="zh-CN"/>
          <w14:textFill>
            <w14:solidFill>
              <w14:schemeClr w14:val="tx1"/>
            </w14:solidFill>
          </w14:textFill>
        </w:rPr>
        <w:t>；</w:t>
      </w:r>
      <w:r>
        <w:rPr>
          <w:rFonts w:eastAsia="方正仿宋_GBK"/>
          <w:color w:val="000000" w:themeColor="text1"/>
          <w:kern w:val="0"/>
          <w:sz w:val="32"/>
          <w:szCs w:val="32"/>
          <w14:textFill>
            <w14:solidFill>
              <w14:schemeClr w14:val="tx1"/>
            </w14:solidFill>
          </w14:textFill>
        </w:rPr>
        <w:t>当住房公积金个贷率在95%（含）以上97%（不含）以下时，且住房公积金资金净流量连续3个月为负数，</w:t>
      </w:r>
      <w:r>
        <w:rPr>
          <w:rFonts w:hint="eastAsia" w:eastAsia="方正仿宋_GBK"/>
          <w:color w:val="000000" w:themeColor="text1"/>
          <w:kern w:val="0"/>
          <w:sz w:val="32"/>
          <w:szCs w:val="32"/>
          <w14:textFill>
            <w14:solidFill>
              <w14:schemeClr w14:val="tx1"/>
            </w14:solidFill>
          </w14:textFill>
        </w:rPr>
        <w:t>住房公积金</w:t>
      </w:r>
      <w:r>
        <w:rPr>
          <w:rFonts w:eastAsia="方正仿宋_GBK"/>
          <w:color w:val="000000" w:themeColor="text1"/>
          <w:kern w:val="0"/>
          <w:sz w:val="32"/>
          <w:szCs w:val="32"/>
          <w14:textFill>
            <w14:solidFill>
              <w14:schemeClr w14:val="tx1"/>
            </w14:solidFill>
          </w14:textFill>
        </w:rPr>
        <w:t>贷款发放轮候时间为4个月</w:t>
      </w:r>
      <w:r>
        <w:rPr>
          <w:rFonts w:hint="eastAsia" w:eastAsia="方正仿宋_GBK"/>
          <w:color w:val="000000" w:themeColor="text1"/>
          <w:kern w:val="0"/>
          <w:sz w:val="32"/>
          <w:szCs w:val="32"/>
          <w:lang w:eastAsia="zh-CN"/>
          <w14:textFill>
            <w14:solidFill>
              <w14:schemeClr w14:val="tx1"/>
            </w14:solidFill>
          </w14:textFill>
        </w:rPr>
        <w:t>；</w:t>
      </w:r>
      <w:r>
        <w:rPr>
          <w:rFonts w:eastAsia="方正仿宋_GBK"/>
          <w:color w:val="000000" w:themeColor="text1"/>
          <w:kern w:val="0"/>
          <w:sz w:val="32"/>
          <w:szCs w:val="32"/>
          <w14:textFill>
            <w14:solidFill>
              <w14:schemeClr w14:val="tx1"/>
            </w14:solidFill>
          </w14:textFill>
        </w:rPr>
        <w:t>当住房公积金个贷率达到97%（含）以上时，</w:t>
      </w:r>
      <w:r>
        <w:rPr>
          <w:rFonts w:hint="eastAsia" w:eastAsia="方正仿宋_GBK"/>
          <w:color w:val="000000" w:themeColor="text1"/>
          <w:kern w:val="0"/>
          <w:sz w:val="32"/>
          <w:szCs w:val="32"/>
          <w14:textFill>
            <w14:solidFill>
              <w14:schemeClr w14:val="tx1"/>
            </w14:solidFill>
          </w14:textFill>
        </w:rPr>
        <w:t>视情况延长住房公积金贷款发放轮候时间并暂停</w:t>
      </w:r>
      <w:r>
        <w:rPr>
          <w:rFonts w:eastAsia="方正仿宋_GBK"/>
          <w:color w:val="000000" w:themeColor="text1"/>
          <w:kern w:val="0"/>
          <w:sz w:val="32"/>
          <w:szCs w:val="32"/>
          <w14:textFill>
            <w14:solidFill>
              <w14:schemeClr w14:val="tx1"/>
            </w14:solidFill>
          </w14:textFill>
        </w:rPr>
        <w:t>商转公</w:t>
      </w:r>
      <w:r>
        <w:rPr>
          <w:rFonts w:hint="eastAsia" w:eastAsia="方正仿宋_GBK"/>
          <w:color w:val="000000" w:themeColor="text1"/>
          <w:kern w:val="0"/>
          <w:sz w:val="32"/>
          <w:szCs w:val="32"/>
          <w14:textFill>
            <w14:solidFill>
              <w14:schemeClr w14:val="tx1"/>
            </w14:solidFill>
          </w14:textFill>
        </w:rPr>
        <w:t>贷款、住房公积金异地贷款等业务</w:t>
      </w:r>
      <w:r>
        <w:rPr>
          <w:rFonts w:eastAsia="方正仿宋_GBK"/>
          <w:color w:val="000000" w:themeColor="text1"/>
          <w:kern w:val="0"/>
          <w:sz w:val="32"/>
          <w:szCs w:val="32"/>
          <w14:textFill>
            <w14:solidFill>
              <w14:schemeClr w14:val="tx1"/>
            </w14:solidFill>
          </w14:textFill>
        </w:rPr>
        <w:t>受理。</w:t>
      </w:r>
    </w:p>
    <w:p>
      <w:pPr>
        <w:spacing w:line="580" w:lineRule="exact"/>
        <w:ind w:firstLine="640" w:firstLineChars="200"/>
        <w:rPr>
          <w:rFonts w:hint="eastAsia" w:eastAsia="方正仿宋_GBK"/>
          <w:color w:val="000000" w:themeColor="text1"/>
          <w:kern w:val="0"/>
          <w:sz w:val="32"/>
          <w:szCs w:val="32"/>
          <w14:textFill>
            <w14:solidFill>
              <w14:schemeClr w14:val="tx1"/>
            </w14:solidFill>
          </w14:textFill>
        </w:rPr>
      </w:pPr>
      <w:r>
        <w:rPr>
          <w:rFonts w:hint="eastAsia" w:eastAsia="方正仿宋_GBK"/>
          <w:color w:val="000000" w:themeColor="text1"/>
          <w:kern w:val="0"/>
          <w:sz w:val="32"/>
          <w:szCs w:val="32"/>
          <w14:textFill>
            <w14:solidFill>
              <w14:schemeClr w14:val="tx1"/>
            </w14:solidFill>
          </w14:textFill>
        </w:rPr>
        <w:t>本通知自发布之日起施行。如遇上级政策调整，从其规定。</w:t>
      </w:r>
    </w:p>
    <w:p>
      <w:pPr>
        <w:spacing w:line="580" w:lineRule="exact"/>
        <w:ind w:firstLine="640" w:firstLineChars="200"/>
        <w:rPr>
          <w:rFonts w:hint="eastAsia" w:eastAsia="方正仿宋_GBK"/>
          <w:color w:val="000000" w:themeColor="text1"/>
          <w:kern w:val="0"/>
          <w:sz w:val="32"/>
          <w:szCs w:val="32"/>
          <w14:textFill>
            <w14:solidFill>
              <w14:schemeClr w14:val="tx1"/>
            </w14:solidFill>
          </w14:textFill>
        </w:rPr>
      </w:pPr>
    </w:p>
    <w:p>
      <w:pPr>
        <w:spacing w:line="580" w:lineRule="exact"/>
        <w:ind w:firstLine="640" w:firstLineChars="200"/>
        <w:rPr>
          <w:rFonts w:hint="eastAsia" w:eastAsia="方正仿宋_GBK"/>
          <w:color w:val="000000" w:themeColor="text1"/>
          <w:kern w:val="0"/>
          <w:sz w:val="32"/>
          <w:szCs w:val="32"/>
          <w14:textFill>
            <w14:solidFill>
              <w14:schemeClr w14:val="tx1"/>
            </w14:solidFill>
          </w14:textFill>
        </w:rPr>
      </w:pPr>
    </w:p>
    <w:p>
      <w:pPr>
        <w:spacing w:line="580" w:lineRule="exact"/>
        <w:ind w:firstLine="3840" w:firstLineChars="1200"/>
        <w:rPr>
          <w:rFonts w:hint="eastAsia" w:eastAsia="方正仿宋_GBK"/>
          <w:color w:val="000000" w:themeColor="text1"/>
          <w:kern w:val="0"/>
          <w:sz w:val="32"/>
          <w:szCs w:val="32"/>
          <w14:textFill>
            <w14:solidFill>
              <w14:schemeClr w14:val="tx1"/>
            </w14:solidFill>
          </w14:textFill>
        </w:rPr>
      </w:pPr>
      <w:r>
        <w:rPr>
          <w:rFonts w:hint="eastAsia" w:eastAsia="方正仿宋_GBK"/>
          <w:color w:val="000000" w:themeColor="text1"/>
          <w:kern w:val="0"/>
          <w:sz w:val="32"/>
          <w:szCs w:val="32"/>
          <w14:textFill>
            <w14:solidFill>
              <w14:schemeClr w14:val="tx1"/>
            </w14:solidFill>
          </w14:textFill>
        </w:rPr>
        <w:t>宿迁市住房公积金管理委员会</w:t>
      </w:r>
    </w:p>
    <w:p>
      <w:pPr>
        <w:spacing w:line="580" w:lineRule="exact"/>
        <w:ind w:firstLine="4800" w:firstLineChars="1500"/>
        <w:rPr>
          <w:rFonts w:hint="eastAsia" w:eastAsia="方正仿宋_GBK"/>
          <w:color w:val="000000" w:themeColor="text1"/>
          <w:kern w:val="0"/>
          <w:sz w:val="32"/>
          <w:szCs w:val="32"/>
          <w14:textFill>
            <w14:solidFill>
              <w14:schemeClr w14:val="tx1"/>
            </w14:solidFill>
          </w14:textFill>
        </w:rPr>
      </w:pPr>
      <w:r>
        <w:rPr>
          <w:rFonts w:hint="eastAsia" w:eastAsia="方正仿宋_GBK"/>
          <w:color w:val="000000" w:themeColor="text1"/>
          <w:kern w:val="0"/>
          <w:sz w:val="32"/>
          <w:szCs w:val="32"/>
          <w14:textFill>
            <w14:solidFill>
              <w14:schemeClr w14:val="tx1"/>
            </w14:solidFill>
          </w14:textFill>
        </w:rPr>
        <w:t>2023年</w:t>
      </w:r>
      <w:r>
        <w:rPr>
          <w:rFonts w:hint="eastAsia" w:eastAsia="方正仿宋_GBK"/>
          <w:color w:val="000000" w:themeColor="text1"/>
          <w:kern w:val="0"/>
          <w:sz w:val="32"/>
          <w:szCs w:val="32"/>
          <w:lang w:val="en-US" w:eastAsia="zh-CN"/>
          <w14:textFill>
            <w14:solidFill>
              <w14:schemeClr w14:val="tx1"/>
            </w14:solidFill>
          </w14:textFill>
        </w:rPr>
        <w:t>7</w:t>
      </w:r>
      <w:r>
        <w:rPr>
          <w:rFonts w:hint="eastAsia" w:eastAsia="方正仿宋_GBK"/>
          <w:color w:val="000000" w:themeColor="text1"/>
          <w:kern w:val="0"/>
          <w:sz w:val="32"/>
          <w:szCs w:val="32"/>
          <w14:textFill>
            <w14:solidFill>
              <w14:schemeClr w14:val="tx1"/>
            </w14:solidFill>
          </w14:textFill>
        </w:rPr>
        <w:t>月</w:t>
      </w:r>
      <w:r>
        <w:rPr>
          <w:rFonts w:hint="eastAsia" w:eastAsia="方正仿宋_GBK"/>
          <w:color w:val="000000" w:themeColor="text1"/>
          <w:kern w:val="0"/>
          <w:sz w:val="32"/>
          <w:szCs w:val="32"/>
          <w:lang w:val="en-US" w:eastAsia="zh-CN"/>
          <w14:textFill>
            <w14:solidFill>
              <w14:schemeClr w14:val="tx1"/>
            </w14:solidFill>
          </w14:textFill>
        </w:rPr>
        <w:t>1</w:t>
      </w:r>
      <w:r>
        <w:rPr>
          <w:rFonts w:hint="eastAsia" w:eastAsia="方正仿宋_GBK"/>
          <w:color w:val="000000" w:themeColor="text1"/>
          <w:kern w:val="0"/>
          <w:sz w:val="32"/>
          <w:szCs w:val="32"/>
          <w14:textFill>
            <w14:solidFill>
              <w14:schemeClr w14:val="tx1"/>
            </w14:solidFill>
          </w14:textFill>
        </w:rPr>
        <w:t>日</w:t>
      </w:r>
    </w:p>
    <w:p>
      <w:pPr>
        <w:spacing w:line="580" w:lineRule="exact"/>
        <w:jc w:val="left"/>
        <w:rPr>
          <w:rFonts w:hint="eastAsia" w:eastAsia="方正仿宋_GBK"/>
          <w:color w:val="000000" w:themeColor="text1"/>
          <w:kern w:val="0"/>
          <w:sz w:val="32"/>
          <w:szCs w:val="32"/>
          <w:lang w:val="en-US" w:eastAsia="zh-CN"/>
          <w14:textFill>
            <w14:solidFill>
              <w14:schemeClr w14:val="tx1"/>
            </w14:solidFill>
          </w14:textFill>
        </w:rPr>
      </w:pPr>
      <w:r>
        <w:rPr>
          <w:rFonts w:hint="eastAsia" w:eastAsia="方正仿宋_GBK"/>
          <w:color w:val="000000" w:themeColor="text1"/>
          <w:kern w:val="0"/>
          <w:sz w:val="32"/>
          <w:szCs w:val="32"/>
          <w:lang w:val="en-US" w:eastAsia="zh-CN"/>
          <w14:textFill>
            <w14:solidFill>
              <w14:schemeClr w14:val="tx1"/>
            </w14:solidFill>
          </w14:textFill>
        </w:rPr>
        <w:t xml:space="preserve">   （此件公开发布）</w:t>
      </w:r>
    </w:p>
    <w:p>
      <w:pPr>
        <w:spacing w:line="580" w:lineRule="exact"/>
        <w:jc w:val="left"/>
        <w:rPr>
          <w:rFonts w:hint="eastAsia" w:eastAsia="方正仿宋_GBK"/>
          <w:color w:val="000000" w:themeColor="text1"/>
          <w:kern w:val="0"/>
          <w:sz w:val="32"/>
          <w:szCs w:val="32"/>
          <w:lang w:val="en-US" w:eastAsia="zh-CN"/>
          <w14:textFill>
            <w14:solidFill>
              <w14:schemeClr w14:val="tx1"/>
            </w14:solidFill>
          </w14:textFill>
        </w:rPr>
      </w:pPr>
    </w:p>
    <w:p>
      <w:pPr>
        <w:spacing w:line="580" w:lineRule="exact"/>
        <w:jc w:val="left"/>
        <w:rPr>
          <w:rFonts w:hint="eastAsia" w:eastAsia="方正仿宋_GBK"/>
          <w:color w:val="000000" w:themeColor="text1"/>
          <w:kern w:val="0"/>
          <w:sz w:val="32"/>
          <w:szCs w:val="32"/>
          <w:lang w:val="en-US" w:eastAsia="zh-CN"/>
          <w14:textFill>
            <w14:solidFill>
              <w14:schemeClr w14:val="tx1"/>
            </w14:solidFill>
          </w14:textFill>
        </w:rPr>
      </w:pPr>
    </w:p>
    <w:p>
      <w:pPr>
        <w:spacing w:line="580" w:lineRule="exact"/>
        <w:jc w:val="left"/>
        <w:rPr>
          <w:rFonts w:hint="eastAsia" w:eastAsia="方正仿宋_GBK"/>
          <w:color w:val="000000" w:themeColor="text1"/>
          <w:kern w:val="0"/>
          <w:sz w:val="32"/>
          <w:szCs w:val="32"/>
          <w:lang w:val="en-US" w:eastAsia="zh-CN"/>
          <w14:textFill>
            <w14:solidFill>
              <w14:schemeClr w14:val="tx1"/>
            </w14:solidFill>
          </w14:textFill>
        </w:rPr>
      </w:pPr>
    </w:p>
    <w:p>
      <w:pPr>
        <w:spacing w:line="580" w:lineRule="exact"/>
        <w:jc w:val="left"/>
        <w:rPr>
          <w:rFonts w:hint="eastAsia" w:eastAsia="方正仿宋_GBK"/>
          <w:color w:val="000000" w:themeColor="text1"/>
          <w:kern w:val="0"/>
          <w:sz w:val="32"/>
          <w:szCs w:val="32"/>
          <w:lang w:val="en-US" w:eastAsia="zh-CN"/>
          <w14:textFill>
            <w14:solidFill>
              <w14:schemeClr w14:val="tx1"/>
            </w14:solidFill>
          </w14:textFill>
        </w:rPr>
      </w:pPr>
    </w:p>
    <w:p>
      <w:pPr>
        <w:spacing w:line="580" w:lineRule="exact"/>
        <w:jc w:val="left"/>
        <w:rPr>
          <w:rFonts w:hint="eastAsia" w:eastAsia="方正仿宋_GBK"/>
          <w:color w:val="000000" w:themeColor="text1"/>
          <w:kern w:val="0"/>
          <w:sz w:val="32"/>
          <w:szCs w:val="32"/>
          <w:lang w:val="en-US" w:eastAsia="zh-CN"/>
          <w14:textFill>
            <w14:solidFill>
              <w14:schemeClr w14:val="tx1"/>
            </w14:solidFill>
          </w14:textFill>
        </w:rPr>
      </w:pPr>
    </w:p>
    <w:p>
      <w:pPr>
        <w:spacing w:line="580" w:lineRule="exact"/>
        <w:jc w:val="left"/>
        <w:rPr>
          <w:rFonts w:hint="eastAsia" w:eastAsia="方正仿宋_GBK"/>
          <w:color w:val="000000" w:themeColor="text1"/>
          <w:kern w:val="0"/>
          <w:sz w:val="32"/>
          <w:szCs w:val="32"/>
          <w:lang w:val="en-US" w:eastAsia="zh-CN"/>
          <w14:textFill>
            <w14:solidFill>
              <w14:schemeClr w14:val="tx1"/>
            </w14:solidFill>
          </w14:textFill>
        </w:rPr>
      </w:pPr>
    </w:p>
    <w:p>
      <w:pPr>
        <w:spacing w:line="580" w:lineRule="exact"/>
        <w:jc w:val="left"/>
        <w:rPr>
          <w:rFonts w:hint="eastAsia" w:eastAsia="方正仿宋_GBK"/>
          <w:color w:val="000000" w:themeColor="text1"/>
          <w:kern w:val="0"/>
          <w:sz w:val="32"/>
          <w:szCs w:val="32"/>
          <w:lang w:val="en-US" w:eastAsia="zh-CN"/>
          <w14:textFill>
            <w14:solidFill>
              <w14:schemeClr w14:val="tx1"/>
            </w14:solidFill>
          </w14:textFill>
        </w:rPr>
      </w:pPr>
    </w:p>
    <w:p>
      <w:pPr>
        <w:spacing w:line="580" w:lineRule="exact"/>
        <w:jc w:val="left"/>
        <w:rPr>
          <w:rFonts w:hint="eastAsia" w:eastAsia="方正仿宋_GBK"/>
          <w:color w:val="000000" w:themeColor="text1"/>
          <w:kern w:val="0"/>
          <w:sz w:val="32"/>
          <w:szCs w:val="32"/>
          <w:lang w:val="en-US" w:eastAsia="zh-CN"/>
          <w14:textFill>
            <w14:solidFill>
              <w14:schemeClr w14:val="tx1"/>
            </w14:solidFill>
          </w14:textFill>
        </w:rPr>
      </w:pPr>
    </w:p>
    <w:p>
      <w:pPr>
        <w:spacing w:line="580" w:lineRule="exact"/>
        <w:jc w:val="left"/>
        <w:rPr>
          <w:rFonts w:hint="eastAsia" w:eastAsia="方正仿宋_GBK"/>
          <w:color w:val="000000" w:themeColor="text1"/>
          <w:kern w:val="0"/>
          <w:sz w:val="32"/>
          <w:szCs w:val="32"/>
          <w:lang w:val="en-US" w:eastAsia="zh-CN"/>
          <w14:textFill>
            <w14:solidFill>
              <w14:schemeClr w14:val="tx1"/>
            </w14:solidFill>
          </w14:textFill>
        </w:rPr>
      </w:pPr>
    </w:p>
    <w:p>
      <w:pPr>
        <w:spacing w:line="580" w:lineRule="exact"/>
        <w:jc w:val="left"/>
        <w:rPr>
          <w:rFonts w:hint="eastAsia" w:eastAsia="方正仿宋_GBK"/>
          <w:color w:val="000000" w:themeColor="text1"/>
          <w:kern w:val="0"/>
          <w:sz w:val="32"/>
          <w:szCs w:val="32"/>
          <w:lang w:val="en-US" w:eastAsia="zh-CN"/>
          <w14:textFill>
            <w14:solidFill>
              <w14:schemeClr w14:val="tx1"/>
            </w14:solidFill>
          </w14:textFill>
        </w:rPr>
      </w:pPr>
    </w:p>
    <w:p>
      <w:pPr>
        <w:spacing w:line="580" w:lineRule="exact"/>
        <w:jc w:val="left"/>
        <w:rPr>
          <w:rFonts w:hint="eastAsia" w:eastAsia="方正仿宋_GBK"/>
          <w:color w:val="000000" w:themeColor="text1"/>
          <w:kern w:val="0"/>
          <w:sz w:val="32"/>
          <w:szCs w:val="32"/>
          <w:lang w:val="en-US" w:eastAsia="zh-CN"/>
          <w14:textFill>
            <w14:solidFill>
              <w14:schemeClr w14:val="tx1"/>
            </w14:solidFill>
          </w14:textFill>
        </w:rPr>
      </w:pPr>
    </w:p>
    <w:p>
      <w:pPr>
        <w:spacing w:line="580" w:lineRule="exact"/>
        <w:jc w:val="left"/>
        <w:rPr>
          <w:rFonts w:hint="eastAsia" w:eastAsia="方正仿宋_GBK"/>
          <w:color w:val="000000" w:themeColor="text1"/>
          <w:kern w:val="0"/>
          <w:sz w:val="32"/>
          <w:szCs w:val="32"/>
          <w:lang w:val="en-US" w:eastAsia="zh-CN"/>
          <w14:textFill>
            <w14:solidFill>
              <w14:schemeClr w14:val="tx1"/>
            </w14:solidFill>
          </w14:textFill>
        </w:rPr>
      </w:pPr>
    </w:p>
    <w:p>
      <w:pPr>
        <w:spacing w:line="580" w:lineRule="exact"/>
        <w:jc w:val="left"/>
        <w:rPr>
          <w:rFonts w:hint="eastAsia" w:eastAsia="方正仿宋_GBK"/>
          <w:color w:val="000000" w:themeColor="text1"/>
          <w:kern w:val="0"/>
          <w:sz w:val="32"/>
          <w:szCs w:val="32"/>
          <w:lang w:val="en-US" w:eastAsia="zh-CN"/>
          <w14:textFill>
            <w14:solidFill>
              <w14:schemeClr w14:val="tx1"/>
            </w14:solidFill>
          </w14:textFill>
        </w:rPr>
      </w:pPr>
    </w:p>
    <w:p>
      <w:pPr>
        <w:spacing w:line="580" w:lineRule="exact"/>
        <w:jc w:val="left"/>
        <w:rPr>
          <w:rFonts w:hint="eastAsia" w:eastAsia="方正仿宋_GBK"/>
          <w:color w:val="000000" w:themeColor="text1"/>
          <w:kern w:val="0"/>
          <w:sz w:val="32"/>
          <w:szCs w:val="32"/>
          <w:lang w:val="en-US" w:eastAsia="zh-CN"/>
          <w14:textFill>
            <w14:solidFill>
              <w14:schemeClr w14:val="tx1"/>
            </w14:solidFill>
          </w14:textFill>
        </w:rPr>
      </w:pPr>
    </w:p>
    <w:p>
      <w:pPr>
        <w:spacing w:line="580" w:lineRule="exact"/>
        <w:jc w:val="left"/>
        <w:rPr>
          <w:rFonts w:hint="eastAsia" w:eastAsia="方正仿宋_GBK"/>
          <w:color w:val="000000" w:themeColor="text1"/>
          <w:kern w:val="0"/>
          <w:sz w:val="32"/>
          <w:szCs w:val="32"/>
          <w:lang w:val="en-US" w:eastAsia="zh-CN"/>
          <w14:textFill>
            <w14:solidFill>
              <w14:schemeClr w14:val="tx1"/>
            </w14:solidFill>
          </w14:textFill>
        </w:rPr>
      </w:pPr>
    </w:p>
    <w:p>
      <w:pPr>
        <w:spacing w:line="580" w:lineRule="exact"/>
        <w:jc w:val="left"/>
        <w:rPr>
          <w:rFonts w:hint="eastAsia" w:eastAsia="方正仿宋_GBK"/>
          <w:color w:val="000000" w:themeColor="text1"/>
          <w:kern w:val="0"/>
          <w:sz w:val="32"/>
          <w:szCs w:val="32"/>
          <w:lang w:val="en-US" w:eastAsia="zh-CN"/>
          <w14:textFill>
            <w14:solidFill>
              <w14:schemeClr w14:val="tx1"/>
            </w14:solidFill>
          </w14:textFill>
        </w:rPr>
      </w:pPr>
      <w:bookmarkStart w:id="0" w:name="_GoBack"/>
      <w:bookmarkEnd w:id="0"/>
    </w:p>
    <w:p>
      <w:pPr>
        <w:spacing w:line="580" w:lineRule="exact"/>
        <w:jc w:val="left"/>
        <w:rPr>
          <w:rFonts w:hint="eastAsia" w:eastAsia="方正仿宋_GBK"/>
          <w:color w:val="000000" w:themeColor="text1"/>
          <w:kern w:val="0"/>
          <w:sz w:val="32"/>
          <w:szCs w:val="32"/>
          <w:lang w:val="en-US" w:eastAsia="zh-CN"/>
          <w14:textFill>
            <w14:solidFill>
              <w14:schemeClr w14:val="tx1"/>
            </w14:solidFill>
          </w14:textFill>
        </w:rPr>
      </w:pPr>
    </w:p>
    <w:p>
      <w:pPr>
        <w:spacing w:line="580" w:lineRule="exact"/>
        <w:jc w:val="left"/>
        <w:rPr>
          <w:rFonts w:hint="eastAsia" w:eastAsia="方正仿宋_GBK"/>
          <w:color w:val="000000" w:themeColor="text1"/>
          <w:kern w:val="0"/>
          <w:sz w:val="32"/>
          <w:szCs w:val="32"/>
          <w:lang w:val="en-US" w:eastAsia="zh-CN"/>
          <w14:textFill>
            <w14:solidFill>
              <w14:schemeClr w14:val="tx1"/>
            </w14:solidFill>
          </w14:textFill>
        </w:rPr>
      </w:pPr>
    </w:p>
    <w:p>
      <w:pPr>
        <w:adjustRightInd w:val="0"/>
        <w:snapToGrid w:val="0"/>
        <w:rPr>
          <w:rFonts w:ascii="Times New Roman" w:hAnsi="Times New Roman" w:eastAsia="仿宋" w:cs="Times New Roman"/>
          <w:color w:val="000000" w:themeColor="text1"/>
          <w:sz w:val="32"/>
          <w:szCs w:val="32"/>
          <w14:textFill>
            <w14:solidFill>
              <w14:schemeClr w14:val="tx1"/>
            </w14:solidFill>
          </w14:textFill>
        </w:rPr>
      </w:pPr>
    </w:p>
    <w:p>
      <w:pPr>
        <w:adjustRightInd w:val="0"/>
        <w:snapToGrid w:val="0"/>
        <w:rPr>
          <w:rFonts w:ascii="Times New Roman" w:hAnsi="Times New Roman" w:eastAsia="仿宋" w:cs="Times New Roman"/>
          <w:color w:val="000000" w:themeColor="text1"/>
          <w:sz w:val="32"/>
          <w:szCs w:val="32"/>
          <w14:textFill>
            <w14:solidFill>
              <w14:schemeClr w14:val="tx1"/>
            </w14:solidFill>
          </w14:textFill>
        </w:rPr>
      </w:pPr>
    </w:p>
    <w:p>
      <w:pPr>
        <w:adjustRightInd w:val="0"/>
        <w:snapToGrid w:val="0"/>
        <w:spacing w:line="560" w:lineRule="exact"/>
        <w:rPr>
          <w:rFonts w:ascii="Times New Roman" w:hAnsi="Times New Roman" w:eastAsia="仿宋" w:cs="Times New Roman"/>
          <w:color w:val="000000" w:themeColor="text1"/>
          <w:sz w:val="32"/>
          <w:szCs w:val="32"/>
          <w14:textFill>
            <w14:solidFill>
              <w14:schemeClr w14:val="tx1"/>
            </w14:solidFill>
          </w14:textFill>
        </w:rPr>
      </w:pPr>
      <w: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17145</wp:posOffset>
                </wp:positionV>
                <wp:extent cx="569912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9912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35pt;margin-top:1.35pt;height:0pt;width:448.75pt;z-index:251659264;mso-width-relative:page;mso-height-relative:page;" filled="f" stroked="t" coordsize="21600,21600" o:gfxdata="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orIOo1QAAAAcBAAAPAAAAAAAAAAEAIAAA&#10;ACIAAABkcnMvZG93bnJldi54bWxQSwECFAAUAAAACACHTuJAfKRVoNYBAACYAwAADgAAAAAAAAAB&#10;ACAAAAAkAQAAZHJzL2Uyb0RvYy54bWxQSwUGAAAAAAYABgBZAQAAbAUAAAAA&#10;">
                <v:fill on="f" focussize="0,0"/>
                <v:stroke color="#000000" joinstyle="round"/>
                <v:imagedata o:title=""/>
                <o:lock v:ext="edit" aspectratio="f"/>
              </v:line>
            </w:pict>
          </mc:Fallback>
        </mc:AlternateContent>
      </w:r>
      <w:r>
        <w:rPr>
          <w:rFonts w:hint="eastAsia" w:ascii="Times New Roman" w:hAnsi="Times New Roman" w:eastAsia="仿宋" w:cs="Times New Roman"/>
          <w:color w:val="000000" w:themeColor="text1"/>
          <w:sz w:val="32"/>
          <w:szCs w:val="32"/>
          <w14:textFill>
            <w14:solidFill>
              <w14:schemeClr w14:val="tx1"/>
            </w14:solidFill>
          </w14:textFill>
        </w:rPr>
        <w:t>抄送：江苏省住房和城乡建设厅</w:t>
      </w:r>
    </w:p>
    <w:p>
      <w:pPr>
        <w:adjustRightInd w:val="0"/>
        <w:snapToGrid w:val="0"/>
        <w:spacing w:line="560" w:lineRule="exact"/>
      </w:pPr>
      <w:r>
        <mc:AlternateContent>
          <mc:Choice Requires="wps">
            <w:drawing>
              <wp:anchor distT="0" distB="0" distL="114300" distR="114300" simplePos="0" relativeHeight="251660288" behindDoc="0" locked="0" layoutInCell="1" allowOverlap="1">
                <wp:simplePos x="0" y="0"/>
                <wp:positionH relativeFrom="column">
                  <wp:posOffset>-84455</wp:posOffset>
                </wp:positionH>
                <wp:positionV relativeFrom="paragraph">
                  <wp:posOffset>31750</wp:posOffset>
                </wp:positionV>
                <wp:extent cx="57054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0547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65pt;margin-top:2.5pt;height:0pt;width:449.25pt;z-index:251660288;mso-width-relative:page;mso-height-relative:page;" filled="f" stroked="t" coordsize="21600,21600" o:gfxdata="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SGto/UAAAABwEAAA8AAAAAAAAAAQAgAAAA&#10;IgAAAGRycy9kb3ducmV2LnhtbFBLAQIUABQAAAAIAIdO4kDNu4wI1gEAAJgDAAAOAAAAAAAAAAEA&#10;IAAAACMBAABkcnMvZTJvRG9jLnhtbFBLBQYAAAAABgAGAFkBAABr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-74295</wp:posOffset>
                </wp:positionH>
                <wp:positionV relativeFrom="paragraph">
                  <wp:posOffset>367030</wp:posOffset>
                </wp:positionV>
                <wp:extent cx="56794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7944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85pt;margin-top:28.9pt;height:0pt;width:447.2pt;z-index:251661312;mso-width-relative:page;mso-height-relative:page;" filled="f" stroked="t" coordsize="21600,21600" o:gfxdata="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EzO9UAAAAJAQAADwAAAAAAAAABACAA&#10;AAAiAAAAZHJzL2Rvd25yZXYueG1sUEsBAhQAFAAAAAgAh07iQGaI5hvXAQAAmAMAAA4AAAAAAAAA&#10;AQAgAAAAJAEAAGRycy9lMm9Eb2MueG1sUEsFBgAAAAAGAAYAWQEAAG0FAAAAAA==&#10;">
                <v:fill on="f" focussize="0,0"/>
                <v:stroke color="#000000" joinstyle="round"/>
                <v:imagedata o:title=""/>
                <o:lock v:ext="edit" aspectratio="f"/>
              </v:line>
            </w:pict>
          </mc:Fallback>
        </mc:AlternateContent>
      </w:r>
      <w:r>
        <w:rPr>
          <w:rFonts w:hint="eastAsia" w:ascii="Times New Roman" w:hAnsi="Times New Roman" w:eastAsia="仿宋" w:cs="Times New Roman"/>
          <w:color w:val="000000" w:themeColor="text1"/>
          <w:sz w:val="32"/>
          <w:szCs w:val="32"/>
          <w14:textFill>
            <w14:solidFill>
              <w14:schemeClr w14:val="tx1"/>
            </w14:solidFill>
          </w14:textFill>
        </w:rPr>
        <w:t>宿迁市住房公积金管理委员会办公室</w:t>
      </w:r>
      <w:r>
        <w:rPr>
          <w:rFonts w:ascii="Times New Roman" w:hAnsi="Times New Roman" w:eastAsia="仿宋" w:cs="Times New Roman"/>
          <w:color w:val="000000" w:themeColor="text1"/>
          <w:sz w:val="32"/>
          <w:szCs w:val="32"/>
          <w14:textFill>
            <w14:solidFill>
              <w14:schemeClr w14:val="tx1"/>
            </w14:solidFill>
          </w14:textFill>
        </w:rPr>
        <w:t xml:space="preserve"> </w:t>
      </w:r>
      <w:r>
        <w:rPr>
          <w:rFonts w:hint="eastAsia" w:ascii="Times New Roman" w:hAnsi="Times New Roman" w:eastAsia="仿宋" w:cs="Times New Roman"/>
          <w:color w:val="000000" w:themeColor="text1"/>
          <w:sz w:val="32"/>
          <w:szCs w:val="32"/>
          <w14:textFill>
            <w14:solidFill>
              <w14:schemeClr w14:val="tx1"/>
            </w14:solidFill>
          </w14:textFill>
        </w:rPr>
        <w:t xml:space="preserve"> </w:t>
      </w:r>
      <w:r>
        <w:rPr>
          <w:rFonts w:ascii="Times New Roman" w:hAnsi="Times New Roman" w:eastAsia="仿宋" w:cs="Times New Roman"/>
          <w:color w:val="000000" w:themeColor="text1"/>
          <w:sz w:val="32"/>
          <w:szCs w:val="32"/>
          <w14:textFill>
            <w14:solidFill>
              <w14:schemeClr w14:val="tx1"/>
            </w14:solidFill>
          </w14:textFill>
        </w:rPr>
        <w:t>202</w:t>
      </w:r>
      <w:r>
        <w:rPr>
          <w:rFonts w:hint="eastAsia" w:eastAsia="仿宋" w:cs="Times New Roman"/>
          <w:color w:val="000000" w:themeColor="text1"/>
          <w:sz w:val="32"/>
          <w:szCs w:val="32"/>
          <w:lang w:val="en-US" w:eastAsia="zh-CN"/>
          <w14:textFill>
            <w14:solidFill>
              <w14:schemeClr w14:val="tx1"/>
            </w14:solidFill>
          </w14:textFill>
        </w:rPr>
        <w:t>3</w:t>
      </w:r>
      <w:r>
        <w:rPr>
          <w:rFonts w:hint="eastAsia" w:ascii="Times New Roman" w:hAnsi="Times New Roman" w:eastAsia="仿宋" w:cs="Times New Roman"/>
          <w:color w:val="000000" w:themeColor="text1"/>
          <w:sz w:val="32"/>
          <w:szCs w:val="32"/>
          <w14:textFill>
            <w14:solidFill>
              <w14:schemeClr w14:val="tx1"/>
            </w14:solidFill>
          </w14:textFill>
        </w:rPr>
        <w:t>年</w:t>
      </w:r>
      <w:r>
        <w:rPr>
          <w:rFonts w:hint="eastAsia" w:eastAsia="仿宋" w:cs="Times New Roman"/>
          <w:color w:val="000000" w:themeColor="text1"/>
          <w:sz w:val="32"/>
          <w:szCs w:val="32"/>
          <w:lang w:val="en-US" w:eastAsia="zh-CN"/>
          <w14:textFill>
            <w14:solidFill>
              <w14:schemeClr w14:val="tx1"/>
            </w14:solidFill>
          </w14:textFill>
        </w:rPr>
        <w:t>7</w:t>
      </w:r>
      <w:r>
        <w:rPr>
          <w:rFonts w:hint="eastAsia" w:ascii="Times New Roman" w:hAnsi="Times New Roman" w:eastAsia="仿宋" w:cs="Times New Roman"/>
          <w:color w:val="000000" w:themeColor="text1"/>
          <w:sz w:val="32"/>
          <w:szCs w:val="32"/>
          <w14:textFill>
            <w14:solidFill>
              <w14:schemeClr w14:val="tx1"/>
            </w14:solidFill>
          </w14:textFill>
        </w:rPr>
        <w:t>月</w:t>
      </w:r>
      <w:r>
        <w:rPr>
          <w:rFonts w:hint="eastAsia" w:eastAsia="仿宋" w:cs="Times New Roman"/>
          <w:color w:val="000000" w:themeColor="text1"/>
          <w:sz w:val="32"/>
          <w:szCs w:val="32"/>
          <w:lang w:val="en-US" w:eastAsia="zh-CN"/>
          <w14:textFill>
            <w14:solidFill>
              <w14:schemeClr w14:val="tx1"/>
            </w14:solidFill>
          </w14:textFill>
        </w:rPr>
        <w:t>1</w:t>
      </w:r>
      <w:r>
        <w:rPr>
          <w:rFonts w:hint="eastAsia" w:ascii="Times New Roman" w:hAnsi="Times New Roman" w:eastAsia="仿宋" w:cs="Times New Roman"/>
          <w:color w:val="000000" w:themeColor="text1"/>
          <w:sz w:val="32"/>
          <w:szCs w:val="32"/>
          <w14:textFill>
            <w14:solidFill>
              <w14:schemeClr w14:val="tx1"/>
            </w14:solidFill>
          </w14:textFill>
        </w:rPr>
        <w:t>日印发</w:t>
      </w:r>
    </w:p>
    <w:p/>
    <w:p/>
    <w:p/>
    <w:p/>
    <w:p/>
    <w:sectPr>
      <w:footerReference r:id="rId3" w:type="default"/>
      <w:footerReference r:id="rId4" w:type="even"/>
      <w:pgSz w:w="11906" w:h="16838"/>
      <w:pgMar w:top="1814" w:right="1531" w:bottom="1985" w:left="1531" w:header="851" w:footer="964" w:gutter="0"/>
      <w:pgNumType w:chapSep="e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8782953"/>
    </w:sdtPr>
    <w:sdtEndPr>
      <w:rPr>
        <w:rFonts w:ascii="Times New Roman" w:hAnsi="Times New Roman" w:eastAsia="宋体" w:cs="Times New Roman"/>
        <w:sz w:val="28"/>
        <w:szCs w:val="28"/>
      </w:rPr>
    </w:sdtEndPr>
    <w:sdtContent>
      <w:p>
        <w:pPr>
          <w:pStyle w:val="2"/>
          <w:jc w:val="right"/>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PAGE   \* MERGEFORMAT</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lang w:val="zh-CN"/>
          </w:rPr>
          <w:t>2</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0098799"/>
    </w:sdtPr>
    <w:sdtEndPr>
      <w:rPr>
        <w:rFonts w:ascii="Times New Roman" w:hAnsi="Times New Roman" w:eastAsia="宋体" w:cs="Times New Roman"/>
        <w:sz w:val="28"/>
        <w:szCs w:val="28"/>
      </w:rPr>
    </w:sdtEndPr>
    <w:sdtContent>
      <w:p>
        <w:pPr>
          <w:pStyle w:val="2"/>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PAGE   \* MERGEFORMAT</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1</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YTZlMjgxYjVmZGM3YzhkNmYwNjBjYWQ5NWJiNTUifQ=="/>
  </w:docVars>
  <w:rsids>
    <w:rsidRoot w:val="5EF5496E"/>
    <w:rsid w:val="1CA12C88"/>
    <w:rsid w:val="2CF46664"/>
    <w:rsid w:val="3AE737CE"/>
    <w:rsid w:val="3B2647B0"/>
    <w:rsid w:val="3DCE1BE8"/>
    <w:rsid w:val="4F586240"/>
    <w:rsid w:val="51704B07"/>
    <w:rsid w:val="5ED94763"/>
    <w:rsid w:val="5EF5496E"/>
    <w:rsid w:val="64D42106"/>
    <w:rsid w:val="6D1F79B0"/>
    <w:rsid w:val="6F6618A9"/>
    <w:rsid w:val="70894884"/>
    <w:rsid w:val="759B13C8"/>
    <w:rsid w:val="773C4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872</Words>
  <Characters>902</Characters>
  <Lines>0</Lines>
  <Paragraphs>0</Paragraphs>
  <TotalTime>0</TotalTime>
  <ScaleCrop>false</ScaleCrop>
  <LinksUpToDate>false</LinksUpToDate>
  <CharactersWithSpaces>902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2023-06-20T01:53:00Z</dcterms:created>
  <dc:creator>金歌</dc:creator>
  <cp:lastModifiedBy>dell</cp:lastModifiedBy>
  <cp:lastPrinted>2023-07-04T03:28:00Z</cp:lastPrinted>
  <dcterms:modified xsi:type="dcterms:W3CDTF">2023-07-04T07:41:13Z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A5DC3CCD8F644D8FAF2EA57CA0BE939C_11</vt:lpwstr>
  </property>
</Properties>
</file>