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04" w:rsidRDefault="0053258B">
      <w:pPr>
        <w:pStyle w:val="a5"/>
        <w:widowControl w:val="0"/>
        <w:spacing w:beforeAutospacing="0" w:afterAutospacing="0"/>
        <w:ind w:leftChars="-50" w:left="-140" w:rightChars="-50" w:right="-140"/>
        <w:rPr>
          <w:rFonts w:eastAsia="方正小标宋_GBK"/>
          <w:color w:val="FFFFFF" w:themeColor="background1"/>
          <w:w w:val="50"/>
          <w:sz w:val="112"/>
          <w:szCs w:val="112"/>
        </w:rPr>
      </w:pPr>
      <w:r>
        <w:rPr>
          <w:rFonts w:eastAsia="方正小标宋_GBK"/>
          <w:color w:val="FFFFFF" w:themeColor="background1"/>
          <w:w w:val="50"/>
          <w:sz w:val="112"/>
          <w:szCs w:val="112"/>
        </w:rPr>
        <w:t>宿迁市住房公积金管理委员会文件</w:t>
      </w:r>
    </w:p>
    <w:p w:rsidR="00350B04" w:rsidRDefault="00350B04">
      <w:pPr>
        <w:adjustRightInd w:val="0"/>
        <w:snapToGrid w:val="0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350B04" w:rsidRDefault="00350B04">
      <w:pPr>
        <w:adjustRightInd w:val="0"/>
        <w:snapToGrid w:val="0"/>
        <w:spacing w:line="400" w:lineRule="exact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350B04" w:rsidRDefault="00350B04">
      <w:pPr>
        <w:adjustRightInd w:val="0"/>
        <w:snapToGrid w:val="0"/>
        <w:spacing w:line="100" w:lineRule="exact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</w:p>
    <w:p w:rsidR="00350B04" w:rsidRDefault="0053258B">
      <w:pPr>
        <w:adjustRightInd w:val="0"/>
        <w:snapToGrid w:val="0"/>
        <w:jc w:val="center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宿</w:t>
      </w:r>
      <w:r w:rsidR="0029500F">
        <w:rPr>
          <w:rFonts w:ascii="Times New Roman" w:eastAsia="方正仿宋_GBK" w:hAnsi="Times New Roman"/>
          <w:color w:val="000000" w:themeColor="text1"/>
          <w:sz w:val="32"/>
          <w:szCs w:val="32"/>
        </w:rPr>
        <w:t>公积金委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〔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202</w:t>
      </w:r>
      <w:r w:rsidR="002E353C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〕</w:t>
      </w:r>
      <w:r w:rsidR="0029500F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 w:themeColor="text1"/>
          <w:sz w:val="32"/>
          <w:szCs w:val="32"/>
        </w:rPr>
        <w:t>号</w:t>
      </w:r>
    </w:p>
    <w:p w:rsidR="00350B04" w:rsidRDefault="00BE4A44">
      <w:pPr>
        <w:snapToGrid w:val="0"/>
        <w:spacing w:line="200" w:lineRule="exact"/>
        <w:rPr>
          <w:rFonts w:eastAsia="方正仿宋_GBK"/>
          <w:sz w:val="32"/>
          <w:szCs w:val="32"/>
        </w:rPr>
      </w:pPr>
      <w:r w:rsidRPr="00BE4A44">
        <w:rPr>
          <w:sz w:val="32"/>
          <w:szCs w:val="32"/>
        </w:rPr>
        <w:pict>
          <v:line id="直接连接符 5" o:spid="_x0000_s2050" style="position:absolute;left:0;text-align:left;z-index:251662336" from="-14.65pt,8.35pt" to="437.2pt,8.35pt" strokecolor="white" strokeweight="2.25pt"/>
        </w:pict>
      </w:r>
    </w:p>
    <w:p w:rsidR="00350B04" w:rsidRDefault="00350B04">
      <w:pPr>
        <w:spacing w:line="560" w:lineRule="exact"/>
        <w:rPr>
          <w:rFonts w:ascii="Times New Roman" w:eastAsia="方正小标宋_GBK" w:hAnsi="方正小标宋_GBK" w:cs="Times New Roman"/>
          <w:sz w:val="44"/>
          <w:szCs w:val="44"/>
        </w:rPr>
      </w:pPr>
    </w:p>
    <w:p w:rsidR="00350B04" w:rsidRDefault="0053258B">
      <w:pPr>
        <w:spacing w:line="6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关于调整住房公积金</w:t>
      </w:r>
      <w:r w:rsidR="000F5648">
        <w:rPr>
          <w:rFonts w:ascii="方正小标宋_GBK" w:eastAsia="方正小标宋_GBK" w:hint="eastAsia"/>
          <w:color w:val="000000" w:themeColor="text1"/>
          <w:sz w:val="44"/>
          <w:szCs w:val="44"/>
        </w:rPr>
        <w:t>最高</w:t>
      </w: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缴存基数</w:t>
      </w:r>
    </w:p>
    <w:p w:rsidR="00350B04" w:rsidRDefault="0053258B">
      <w:pPr>
        <w:spacing w:line="600" w:lineRule="exact"/>
        <w:jc w:val="center"/>
        <w:outlineLvl w:val="1"/>
        <w:rPr>
          <w:rFonts w:ascii="Times New Roman" w:eastAsia="方正小标宋_GBK" w:hAnsi="Times New Roman" w:cs="Times New Roman"/>
          <w:snapToGrid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snapToGrid/>
          <w:kern w:val="0"/>
          <w:sz w:val="44"/>
          <w:szCs w:val="44"/>
        </w:rPr>
        <w:t>的通知</w:t>
      </w:r>
    </w:p>
    <w:p w:rsidR="00350B04" w:rsidRDefault="00350B04">
      <w:pPr>
        <w:spacing w:line="560" w:lineRule="exact"/>
        <w:jc w:val="left"/>
        <w:rPr>
          <w:rFonts w:ascii="Times New Roman" w:eastAsia="微软雅黑" w:hAnsi="Times New Roman" w:cs="Times New Roman"/>
          <w:snapToGrid/>
          <w:kern w:val="0"/>
          <w:sz w:val="22"/>
          <w:szCs w:val="22"/>
        </w:rPr>
      </w:pPr>
    </w:p>
    <w:p w:rsidR="00350B04" w:rsidRDefault="0053258B">
      <w:pPr>
        <w:spacing w:line="560" w:lineRule="exact"/>
        <w:jc w:val="left"/>
        <w:rPr>
          <w:rFonts w:ascii="Times New Roman" w:eastAsia="微软雅黑" w:hAnsi="Times New Roman" w:cs="Times New Roman"/>
          <w:snapToGrid/>
          <w:kern w:val="0"/>
          <w:sz w:val="22"/>
          <w:szCs w:val="22"/>
        </w:rPr>
      </w:pP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各缴存单位：</w:t>
      </w:r>
    </w:p>
    <w:p w:rsidR="00350B04" w:rsidRDefault="0053258B">
      <w:pPr>
        <w:spacing w:line="560" w:lineRule="exact"/>
        <w:ind w:firstLine="640"/>
        <w:rPr>
          <w:rFonts w:ascii="Times New Roman" w:eastAsia="微软雅黑" w:hAnsi="Times New Roman" w:cs="Times New Roman"/>
          <w:snapToGrid/>
          <w:kern w:val="0"/>
          <w:sz w:val="22"/>
          <w:szCs w:val="22"/>
        </w:rPr>
      </w:pP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根据《住房公积金管理条例》《关于阶段性降低住房公积金缴存比例进一步降低企业成本的通知》（宿公积金委﹝</w:t>
      </w:r>
      <w:r>
        <w:rPr>
          <w:rFonts w:ascii="Times New Roman" w:eastAsia="微软雅黑" w:hAnsi="Times New Roman" w:cs="Times New Roman"/>
          <w:snapToGrid/>
          <w:kern w:val="0"/>
          <w:sz w:val="32"/>
          <w:szCs w:val="32"/>
        </w:rPr>
        <w:t>2018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﹞</w:t>
      </w:r>
      <w:r>
        <w:rPr>
          <w:rFonts w:ascii="Times New Roman" w:eastAsia="微软雅黑" w:hAnsi="Times New Roman" w:cs="Times New Roman"/>
          <w:snapToGrid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号）</w:t>
      </w:r>
      <w:r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等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文件精神，</w:t>
      </w:r>
      <w:r w:rsidR="004B3F43"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结合</w:t>
      </w:r>
      <w:r w:rsidR="0029500F"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我市</w:t>
      </w:r>
      <w:r w:rsidR="004B3F43"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实际，</w:t>
      </w:r>
      <w:r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现就调整</w:t>
      </w:r>
      <w:r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02</w:t>
      </w:r>
      <w:r w:rsidR="002E353C"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年度住房公积金缴存基数有关事项通知如下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：</w:t>
      </w:r>
    </w:p>
    <w:p w:rsidR="00350B04" w:rsidRDefault="0053258B">
      <w:pPr>
        <w:spacing w:line="560" w:lineRule="exact"/>
        <w:ind w:firstLine="640"/>
        <w:rPr>
          <w:rFonts w:ascii="Times New Roman" w:eastAsia="微软雅黑" w:hAnsi="Times New Roman" w:cs="Times New Roman"/>
          <w:snapToGrid/>
          <w:kern w:val="0"/>
          <w:sz w:val="22"/>
          <w:szCs w:val="22"/>
        </w:rPr>
      </w:pPr>
      <w:r>
        <w:rPr>
          <w:rFonts w:ascii="Times New Roman" w:eastAsia="方正黑体_GBK" w:hAnsi="Times New Roman" w:cs="Times New Roman"/>
          <w:snapToGrid/>
          <w:kern w:val="0"/>
          <w:sz w:val="32"/>
          <w:szCs w:val="32"/>
        </w:rPr>
        <w:t>一、调整</w:t>
      </w:r>
      <w:r>
        <w:rPr>
          <w:rFonts w:ascii="Times New Roman" w:eastAsia="方正黑体_GBK" w:hAnsi="Times New Roman" w:cs="Times New Roman" w:hint="eastAsia"/>
          <w:snapToGrid/>
          <w:kern w:val="0"/>
          <w:sz w:val="32"/>
          <w:szCs w:val="32"/>
        </w:rPr>
        <w:t>内容</w:t>
      </w:r>
    </w:p>
    <w:p w:rsidR="00350B04" w:rsidRDefault="0053258B" w:rsidP="002E353C">
      <w:pPr>
        <w:tabs>
          <w:tab w:val="left" w:pos="993"/>
          <w:tab w:val="left" w:pos="2410"/>
        </w:tabs>
        <w:spacing w:line="560" w:lineRule="exact"/>
        <w:ind w:firstLineChars="200" w:firstLine="640"/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</w:pPr>
      <w:r>
        <w:rPr>
          <w:rFonts w:ascii="Times New Roman" w:eastAsia="微软雅黑" w:hAnsi="Times New Roman" w:cs="Times New Roman"/>
          <w:snapToGrid/>
          <w:kern w:val="0"/>
          <w:sz w:val="32"/>
          <w:szCs w:val="32"/>
        </w:rPr>
        <w:t>202</w:t>
      </w:r>
      <w:r w:rsidR="002E353C">
        <w:rPr>
          <w:rFonts w:ascii="Times New Roman" w:eastAsia="微软雅黑" w:hAnsi="Times New Roman" w:cs="Times New Roman" w:hint="eastAsia"/>
          <w:snapToGrid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年，我市住房公积金的月缴存基数</w:t>
      </w:r>
      <w:r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按照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职工</w:t>
      </w:r>
      <w:r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本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人</w:t>
      </w:r>
      <w:r>
        <w:rPr>
          <w:rFonts w:ascii="Times New Roman" w:eastAsia="微软雅黑" w:hAnsi="Times New Roman" w:cs="Times New Roman"/>
          <w:snapToGrid/>
          <w:kern w:val="0"/>
          <w:sz w:val="32"/>
          <w:szCs w:val="32"/>
        </w:rPr>
        <w:t>202</w:t>
      </w:r>
      <w:r w:rsidR="002E353C">
        <w:rPr>
          <w:rFonts w:ascii="Times New Roman" w:eastAsia="微软雅黑" w:hAnsi="Times New Roman" w:cs="Times New Roman" w:hint="eastAsia"/>
          <w:snapToGrid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年度月平均工资核定，最高为</w:t>
      </w:r>
      <w:r w:rsidR="002E353C">
        <w:rPr>
          <w:rFonts w:ascii="Times New Roman" w:eastAsia="微软雅黑" w:hAnsi="Times New Roman" w:cs="Times New Roman" w:hint="eastAsia"/>
          <w:snapToGrid/>
          <w:kern w:val="0"/>
          <w:sz w:val="32"/>
          <w:szCs w:val="32"/>
        </w:rPr>
        <w:t>30340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元，</w:t>
      </w:r>
      <w:r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最低为</w:t>
      </w:r>
      <w:r w:rsidR="002E353C"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2010</w:t>
      </w:r>
      <w:r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元，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从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202</w:t>
      </w:r>
      <w:r w:rsidR="002E353C"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日起执行。</w:t>
      </w:r>
    </w:p>
    <w:p w:rsidR="00350B04" w:rsidRDefault="0053258B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住房公积金月缴存额的</w:t>
      </w:r>
      <w:r w:rsidR="004B3F43"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单位缴存部分和职工缴存部分</w:t>
      </w:r>
      <w:r w:rsidR="004B3F43">
        <w:rPr>
          <w:rFonts w:ascii="Times New Roman" w:eastAsia="方正仿宋_GBK" w:hAnsi="Times New Roman" w:cs="Times New Roman" w:hint="eastAsia"/>
          <w:snapToGrid/>
          <w:kern w:val="0"/>
          <w:sz w:val="32"/>
          <w:szCs w:val="32"/>
        </w:rPr>
        <w:t>均</w:t>
      </w:r>
      <w:r>
        <w:rPr>
          <w:rFonts w:ascii="Times New Roman" w:eastAsia="方正仿宋_GBK" w:hAnsi="Times New Roman" w:cs="Times New Roman"/>
          <w:snapToGrid/>
          <w:kern w:val="0"/>
          <w:sz w:val="32"/>
          <w:szCs w:val="32"/>
        </w:rPr>
        <w:t>实行元以下四舍五入。</w:t>
      </w:r>
    </w:p>
    <w:p w:rsidR="00350B04" w:rsidRDefault="0053258B">
      <w:pPr>
        <w:spacing w:line="560" w:lineRule="exact"/>
        <w:ind w:firstLine="640"/>
        <w:rPr>
          <w:rFonts w:ascii="Times New Roman" w:eastAsia="微软雅黑" w:hAnsi="Times New Roman" w:cs="Times New Roman"/>
          <w:snapToGrid/>
          <w:color w:val="000000" w:themeColor="text1"/>
          <w:kern w:val="0"/>
          <w:sz w:val="22"/>
          <w:szCs w:val="22"/>
        </w:rPr>
      </w:pPr>
      <w:r>
        <w:rPr>
          <w:rFonts w:ascii="Times New Roman" w:eastAsia="方正黑体_GBK" w:hAnsi="Times New Roman" w:cs="Times New Roman"/>
          <w:snapToGrid/>
          <w:color w:val="000000" w:themeColor="text1"/>
          <w:kern w:val="0"/>
          <w:sz w:val="32"/>
          <w:szCs w:val="32"/>
        </w:rPr>
        <w:t>二、办理渠道</w:t>
      </w:r>
    </w:p>
    <w:p w:rsidR="00350B04" w:rsidRDefault="0053258B">
      <w:pPr>
        <w:spacing w:line="560" w:lineRule="exact"/>
        <w:ind w:firstLine="640"/>
        <w:rPr>
          <w:rFonts w:ascii="Times New Roman" w:eastAsia="微软雅黑" w:hAnsi="Times New Roman" w:cs="Times New Roman"/>
          <w:snapToGrid/>
          <w:color w:val="000000" w:themeColor="text1"/>
          <w:kern w:val="0"/>
          <w:sz w:val="22"/>
          <w:szCs w:val="22"/>
        </w:rPr>
      </w:pPr>
      <w:r>
        <w:rPr>
          <w:rFonts w:ascii="Times New Roman" w:eastAsia="方正仿宋_GBK" w:hAnsi="Times New Roman" w:cs="Times New Roman"/>
          <w:snapToGrid/>
          <w:color w:val="000000" w:themeColor="text1"/>
          <w:kern w:val="0"/>
          <w:sz w:val="32"/>
          <w:szCs w:val="32"/>
        </w:rPr>
        <w:t>各缴存单位</w:t>
      </w:r>
      <w:r>
        <w:rPr>
          <w:rFonts w:ascii="Times New Roman" w:eastAsia="方正仿宋_GBK" w:hAnsi="Times New Roman" w:cs="Times New Roman" w:hint="eastAsia"/>
          <w:snapToGrid/>
          <w:color w:val="000000" w:themeColor="text1"/>
          <w:kern w:val="0"/>
          <w:sz w:val="32"/>
          <w:szCs w:val="32"/>
        </w:rPr>
        <w:t>可至</w:t>
      </w:r>
      <w:r>
        <w:rPr>
          <w:rFonts w:ascii="Times New Roman" w:eastAsia="方正仿宋_GBK" w:hAnsi="Times New Roman" w:cs="Times New Roman"/>
          <w:snapToGrid/>
          <w:color w:val="000000" w:themeColor="text1"/>
          <w:kern w:val="0"/>
          <w:sz w:val="32"/>
          <w:szCs w:val="32"/>
        </w:rPr>
        <w:t>住房公积金管理中心或受托银行经办窗口办理；已开通网厅业务的缴存单位，可登录</w:t>
      </w:r>
      <w:r>
        <w:rPr>
          <w:rFonts w:ascii="Times New Roman" w:eastAsia="方正仿宋_GBK" w:hAnsi="Times New Roman" w:cs="Times New Roman" w:hint="eastAsia"/>
          <w:snapToGrid/>
          <w:color w:val="000000" w:themeColor="text1"/>
          <w:kern w:val="0"/>
          <w:sz w:val="32"/>
          <w:szCs w:val="32"/>
        </w:rPr>
        <w:t>宿迁市住房</w:t>
      </w:r>
      <w:r>
        <w:rPr>
          <w:rFonts w:ascii="Times New Roman" w:eastAsia="方正仿宋_GBK" w:hAnsi="Times New Roman" w:cs="Times New Roman" w:hint="eastAsia"/>
          <w:snapToGrid/>
          <w:color w:val="000000" w:themeColor="text1"/>
          <w:kern w:val="0"/>
          <w:sz w:val="32"/>
          <w:szCs w:val="32"/>
        </w:rPr>
        <w:lastRenderedPageBreak/>
        <w:t>公积金管理中心</w:t>
      </w:r>
      <w:r>
        <w:rPr>
          <w:rFonts w:ascii="Times New Roman" w:eastAsia="方正仿宋_GBK" w:hAnsi="Times New Roman" w:cs="Times New Roman"/>
          <w:snapToGrid/>
          <w:color w:val="000000" w:themeColor="text1"/>
          <w:kern w:val="0"/>
          <w:sz w:val="32"/>
          <w:szCs w:val="32"/>
        </w:rPr>
        <w:t>网厅自行调整（网厅地址：</w:t>
      </w:r>
      <w:hyperlink r:id="rId8" w:tgtFrame="_blank" w:history="1">
        <w:r>
          <w:rPr>
            <w:rFonts w:ascii="Times New Roman" w:eastAsia="微软雅黑" w:hAnsi="Times New Roman" w:cs="Times New Roman"/>
            <w:snapToGrid/>
            <w:color w:val="000000" w:themeColor="text1"/>
            <w:kern w:val="0"/>
            <w:sz w:val="32"/>
          </w:rPr>
          <w:t>https://wt.sqzfgjj.com/ish</w:t>
        </w:r>
      </w:hyperlink>
      <w:r>
        <w:rPr>
          <w:rFonts w:ascii="Times New Roman" w:eastAsia="方正仿宋_GBK" w:hAnsi="Times New Roman" w:cs="Times New Roman"/>
          <w:snapToGrid/>
          <w:color w:val="000000" w:themeColor="text1"/>
          <w:kern w:val="0"/>
          <w:sz w:val="32"/>
          <w:szCs w:val="32"/>
        </w:rPr>
        <w:t>）。</w:t>
      </w:r>
    </w:p>
    <w:p w:rsidR="00350B04" w:rsidRDefault="00350B04">
      <w:pPr>
        <w:spacing w:line="560" w:lineRule="exact"/>
        <w:ind w:firstLineChars="1100" w:firstLine="3520"/>
        <w:jc w:val="left"/>
        <w:rPr>
          <w:rFonts w:ascii="Times New Roman" w:eastAsia="微软雅黑" w:hAnsi="Times New Roman" w:cs="Times New Roman"/>
          <w:snapToGrid/>
          <w:color w:val="000000" w:themeColor="text1"/>
          <w:kern w:val="0"/>
          <w:sz w:val="32"/>
          <w:szCs w:val="32"/>
        </w:rPr>
      </w:pPr>
    </w:p>
    <w:p w:rsidR="00350B04" w:rsidRDefault="00350B04">
      <w:pPr>
        <w:spacing w:line="560" w:lineRule="exact"/>
        <w:ind w:firstLineChars="1100" w:firstLine="3520"/>
        <w:jc w:val="left"/>
        <w:rPr>
          <w:rFonts w:ascii="Times New Roman" w:eastAsia="微软雅黑" w:hAnsi="Times New Roman" w:cs="Times New Roman"/>
          <w:snapToGrid/>
          <w:color w:val="000000" w:themeColor="text1"/>
          <w:kern w:val="0"/>
          <w:sz w:val="32"/>
          <w:szCs w:val="32"/>
        </w:rPr>
      </w:pPr>
    </w:p>
    <w:p w:rsidR="00350B04" w:rsidRDefault="00350B04">
      <w:pPr>
        <w:spacing w:line="560" w:lineRule="exact"/>
        <w:ind w:firstLineChars="1100" w:firstLine="3520"/>
        <w:jc w:val="left"/>
        <w:rPr>
          <w:rFonts w:ascii="Times New Roman" w:eastAsia="微软雅黑" w:hAnsi="Times New Roman" w:cs="Times New Roman"/>
          <w:snapToGrid/>
          <w:color w:val="000000" w:themeColor="text1"/>
          <w:kern w:val="0"/>
          <w:sz w:val="32"/>
          <w:szCs w:val="32"/>
        </w:rPr>
      </w:pPr>
    </w:p>
    <w:p w:rsidR="00350B04" w:rsidRDefault="0053258B">
      <w:pPr>
        <w:spacing w:line="560" w:lineRule="exact"/>
        <w:ind w:firstLineChars="1100" w:firstLine="3520"/>
        <w:jc w:val="left"/>
        <w:rPr>
          <w:rFonts w:ascii="Times New Roman" w:eastAsia="微软雅黑" w:hAnsi="Times New Roman" w:cs="Times New Roman"/>
          <w:snapToGrid/>
          <w:color w:val="000000" w:themeColor="text1"/>
          <w:kern w:val="0"/>
          <w:sz w:val="22"/>
          <w:szCs w:val="22"/>
        </w:rPr>
      </w:pPr>
      <w:r>
        <w:rPr>
          <w:rFonts w:ascii="Times New Roman" w:eastAsia="方正仿宋_GBK" w:hAnsi="Times New Roman" w:cs="Times New Roman"/>
          <w:snapToGrid/>
          <w:color w:val="000000" w:themeColor="text1"/>
          <w:kern w:val="0"/>
          <w:sz w:val="32"/>
          <w:szCs w:val="32"/>
        </w:rPr>
        <w:t>宿迁市住房公积金管理委员会</w:t>
      </w:r>
    </w:p>
    <w:p w:rsidR="00350B04" w:rsidRDefault="0053258B">
      <w:pPr>
        <w:spacing w:line="560" w:lineRule="exact"/>
        <w:ind w:firstLineChars="1350" w:firstLine="4320"/>
        <w:jc w:val="left"/>
        <w:rPr>
          <w:rFonts w:ascii="Times New Roman" w:eastAsia="微软雅黑" w:hAnsi="Times New Roman" w:cs="Times New Roman"/>
          <w:snapToGrid/>
          <w:color w:val="000000" w:themeColor="text1"/>
          <w:kern w:val="0"/>
          <w:sz w:val="22"/>
          <w:szCs w:val="22"/>
        </w:rPr>
      </w:pPr>
      <w:r>
        <w:rPr>
          <w:rFonts w:ascii="Times New Roman" w:eastAsia="微软雅黑" w:hAnsi="Times New Roman" w:cs="Times New Roman"/>
          <w:snapToGrid/>
          <w:color w:val="000000" w:themeColor="text1"/>
          <w:kern w:val="0"/>
          <w:sz w:val="32"/>
          <w:szCs w:val="32"/>
        </w:rPr>
        <w:t>202</w:t>
      </w:r>
      <w:r w:rsidR="002E353C">
        <w:rPr>
          <w:rFonts w:ascii="Times New Roman" w:eastAsia="微软雅黑" w:hAnsi="Times New Roman" w:cs="Times New Roman" w:hint="eastAsia"/>
          <w:snapToGrid/>
          <w:color w:val="000000" w:themeColor="text1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napToGrid/>
          <w:color w:val="000000" w:themeColor="text1"/>
          <w:kern w:val="0"/>
          <w:sz w:val="32"/>
          <w:szCs w:val="32"/>
        </w:rPr>
        <w:t>年</w:t>
      </w:r>
      <w:r w:rsidR="002E353C">
        <w:rPr>
          <w:rFonts w:ascii="Times New Roman" w:eastAsia="方正仿宋_GBK" w:hAnsi="Times New Roman" w:cs="Times New Roman" w:hint="eastAsia"/>
          <w:snapToGrid/>
          <w:color w:val="000000" w:themeColor="text1"/>
          <w:kern w:val="0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napToGrid/>
          <w:color w:val="000000" w:themeColor="text1"/>
          <w:kern w:val="0"/>
          <w:sz w:val="32"/>
          <w:szCs w:val="32"/>
        </w:rPr>
        <w:t>月</w:t>
      </w:r>
      <w:r w:rsidR="008040F0">
        <w:rPr>
          <w:rFonts w:ascii="Times New Roman" w:eastAsia="方正仿宋_GBK" w:hAnsi="Times New Roman" w:cs="Times New Roman" w:hint="eastAsia"/>
          <w:snapToGrid/>
          <w:color w:val="000000" w:themeColor="text1"/>
          <w:kern w:val="0"/>
          <w:sz w:val="32"/>
          <w:szCs w:val="32"/>
        </w:rPr>
        <w:t>8</w:t>
      </w:r>
      <w:r>
        <w:rPr>
          <w:rFonts w:ascii="Times New Roman" w:eastAsia="方正仿宋_GBK" w:hAnsi="Times New Roman" w:cs="Times New Roman"/>
          <w:snapToGrid/>
          <w:color w:val="000000" w:themeColor="text1"/>
          <w:kern w:val="0"/>
          <w:sz w:val="32"/>
          <w:szCs w:val="32"/>
        </w:rPr>
        <w:t>日</w:t>
      </w:r>
    </w:p>
    <w:p w:rsidR="00350B04" w:rsidRDefault="0053258B">
      <w:pPr>
        <w:adjustRightInd w:val="0"/>
        <w:snapToGrid w:val="0"/>
        <w:spacing w:line="600" w:lineRule="exact"/>
        <w:jc w:val="lef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 xml:space="preserve">     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（此件公开发布）</w:t>
      </w:r>
    </w:p>
    <w:p w:rsidR="00350B04" w:rsidRDefault="00350B04">
      <w:pPr>
        <w:spacing w:line="560" w:lineRule="exact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350B04" w:rsidSect="00350B0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AB" w:rsidRDefault="004532AB" w:rsidP="00350B04">
      <w:r>
        <w:separator/>
      </w:r>
    </w:p>
  </w:endnote>
  <w:endnote w:type="continuationSeparator" w:id="0">
    <w:p w:rsidR="004532AB" w:rsidRDefault="004532AB" w:rsidP="00350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04" w:rsidRDefault="00BE4A44">
    <w:pPr>
      <w:pStyle w:val="a3"/>
    </w:pPr>
    <w:r w:rsidRPr="00BE4A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624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350B04" w:rsidRDefault="0053258B">
                <w:pPr>
                  <w:pStyle w:val="a3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— </w:t>
                </w:r>
                <w:r w:rsidR="00BE4A4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BE4A4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8040F0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2</w:t>
                </w:r>
                <w:r w:rsidR="00BE4A44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AB" w:rsidRDefault="004532AB" w:rsidP="00350B04">
      <w:r>
        <w:separator/>
      </w:r>
    </w:p>
  </w:footnote>
  <w:footnote w:type="continuationSeparator" w:id="0">
    <w:p w:rsidR="004532AB" w:rsidRDefault="004532AB" w:rsidP="00350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NjMzBiODNiZGUwZDg4YWUwMjFjNjU1MTExZTQyNWEifQ=="/>
  </w:docVars>
  <w:rsids>
    <w:rsidRoot w:val="00A13A45"/>
    <w:rsid w:val="00032F42"/>
    <w:rsid w:val="000B3FA4"/>
    <w:rsid w:val="000F5648"/>
    <w:rsid w:val="00150766"/>
    <w:rsid w:val="0018121E"/>
    <w:rsid w:val="001A677E"/>
    <w:rsid w:val="001B3C18"/>
    <w:rsid w:val="00211337"/>
    <w:rsid w:val="0025579A"/>
    <w:rsid w:val="0029500F"/>
    <w:rsid w:val="002C6AE0"/>
    <w:rsid w:val="002E353C"/>
    <w:rsid w:val="00350B04"/>
    <w:rsid w:val="00357C9E"/>
    <w:rsid w:val="003F0845"/>
    <w:rsid w:val="003F2290"/>
    <w:rsid w:val="00406EE7"/>
    <w:rsid w:val="004532AB"/>
    <w:rsid w:val="00486CF0"/>
    <w:rsid w:val="004B1172"/>
    <w:rsid w:val="004B3F43"/>
    <w:rsid w:val="004B4F73"/>
    <w:rsid w:val="004B7CCB"/>
    <w:rsid w:val="0053258B"/>
    <w:rsid w:val="00545794"/>
    <w:rsid w:val="0055622F"/>
    <w:rsid w:val="005D441F"/>
    <w:rsid w:val="00637502"/>
    <w:rsid w:val="0064519D"/>
    <w:rsid w:val="00646BB4"/>
    <w:rsid w:val="0067040C"/>
    <w:rsid w:val="006709C3"/>
    <w:rsid w:val="006E5687"/>
    <w:rsid w:val="00740556"/>
    <w:rsid w:val="007B3CD0"/>
    <w:rsid w:val="007F2ECD"/>
    <w:rsid w:val="008040F0"/>
    <w:rsid w:val="008332B4"/>
    <w:rsid w:val="00845445"/>
    <w:rsid w:val="00860150"/>
    <w:rsid w:val="00882B9A"/>
    <w:rsid w:val="008A0D27"/>
    <w:rsid w:val="008A5739"/>
    <w:rsid w:val="00921383"/>
    <w:rsid w:val="00992957"/>
    <w:rsid w:val="00A13A45"/>
    <w:rsid w:val="00A34823"/>
    <w:rsid w:val="00A43940"/>
    <w:rsid w:val="00B067C8"/>
    <w:rsid w:val="00B34A71"/>
    <w:rsid w:val="00B824F7"/>
    <w:rsid w:val="00B92593"/>
    <w:rsid w:val="00BE4A44"/>
    <w:rsid w:val="00C67611"/>
    <w:rsid w:val="00CA0826"/>
    <w:rsid w:val="00D10AD9"/>
    <w:rsid w:val="00D21CD0"/>
    <w:rsid w:val="00D36F7A"/>
    <w:rsid w:val="00D5266B"/>
    <w:rsid w:val="00D944C9"/>
    <w:rsid w:val="00DB5FC1"/>
    <w:rsid w:val="00E4624C"/>
    <w:rsid w:val="00E57AA8"/>
    <w:rsid w:val="00EC17CA"/>
    <w:rsid w:val="00ED5F69"/>
    <w:rsid w:val="00F15CDE"/>
    <w:rsid w:val="00F34AB8"/>
    <w:rsid w:val="00FB3925"/>
    <w:rsid w:val="04BC4C42"/>
    <w:rsid w:val="1CFD0F66"/>
    <w:rsid w:val="1F010A0F"/>
    <w:rsid w:val="207208B3"/>
    <w:rsid w:val="32166CDD"/>
    <w:rsid w:val="3CEB6FB1"/>
    <w:rsid w:val="49581B01"/>
    <w:rsid w:val="4B6E196A"/>
    <w:rsid w:val="518618CD"/>
    <w:rsid w:val="61B97ED1"/>
    <w:rsid w:val="63D054FB"/>
    <w:rsid w:val="6A0A37E1"/>
    <w:rsid w:val="73A6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04"/>
    <w:pPr>
      <w:widowControl w:val="0"/>
      <w:jc w:val="both"/>
    </w:pPr>
    <w:rPr>
      <w:rFonts w:ascii="宋体" w:eastAsia="宋体" w:hAnsi="宋体" w:cs="宋体"/>
      <w:snapToGrid w:val="0"/>
      <w:kern w:val="28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350B04"/>
    <w:pPr>
      <w:widowControl/>
      <w:spacing w:before="100" w:beforeAutospacing="1" w:after="100" w:afterAutospacing="1"/>
      <w:jc w:val="left"/>
      <w:outlineLvl w:val="1"/>
    </w:pPr>
    <w:rPr>
      <w:b/>
      <w:bCs/>
      <w:snapToGrid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50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50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50B04"/>
    <w:pPr>
      <w:widowControl/>
      <w:spacing w:before="100" w:beforeAutospacing="1" w:after="100" w:afterAutospacing="1"/>
      <w:jc w:val="left"/>
    </w:pPr>
    <w:rPr>
      <w:snapToGrid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qFormat/>
    <w:rsid w:val="00350B04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350B0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50B0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350B04"/>
    <w:rPr>
      <w:b/>
      <w:bCs/>
      <w:snapToGrid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t.sqzfgjj.com/i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EE76D-8967-4C80-9950-2D33A8E2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37</cp:revision>
  <cp:lastPrinted>2024-03-08T07:14:00Z</cp:lastPrinted>
  <dcterms:created xsi:type="dcterms:W3CDTF">2023-06-19T23:09:00Z</dcterms:created>
  <dcterms:modified xsi:type="dcterms:W3CDTF">2024-03-08T07:14:00Z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C3B058A82314489E914CF0EB9ABB5FF6_12</vt:lpwstr>
  </property>
</Properties>
</file>