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80" w:lineRule="exact"/>
        <w:jc w:val="center"/>
        <w:rPr>
          <w:rFonts w:eastAsia="方正小标宋_GBK" w:cs="Times New Roman"/>
          <w:b w:val="0"/>
          <w:bCs w:val="0"/>
          <w:sz w:val="44"/>
          <w:szCs w:val="44"/>
          <w:highlight w:val="none"/>
        </w:rPr>
      </w:pPr>
      <w:bookmarkStart w:id="0" w:name="_Hlk104547039"/>
      <w:bookmarkEnd w:id="0"/>
      <w:bookmarkStart w:id="1" w:name="_Toc973"/>
    </w:p>
    <w:p>
      <w:pPr>
        <w:adjustRightInd w:val="0"/>
        <w:spacing w:line="580" w:lineRule="exact"/>
        <w:jc w:val="center"/>
        <w:rPr>
          <w:rFonts w:eastAsia="方正小标宋_GBK" w:cs="Times New Roman"/>
          <w:b w:val="0"/>
          <w:bCs w:val="0"/>
          <w:sz w:val="44"/>
          <w:szCs w:val="44"/>
          <w:highlight w:val="none"/>
        </w:rPr>
      </w:pPr>
    </w:p>
    <w:p>
      <w:pPr>
        <w:adjustRightInd w:val="0"/>
        <w:spacing w:line="580" w:lineRule="exact"/>
        <w:jc w:val="center"/>
        <w:rPr>
          <w:rFonts w:eastAsia="方正小标宋_GBK" w:cs="Times New Roman"/>
          <w:b w:val="0"/>
          <w:bCs w:val="0"/>
          <w:sz w:val="44"/>
          <w:szCs w:val="44"/>
          <w:highlight w:val="none"/>
        </w:rPr>
      </w:pPr>
    </w:p>
    <w:p>
      <w:pPr>
        <w:adjustRightInd w:val="0"/>
        <w:spacing w:line="580" w:lineRule="exact"/>
        <w:jc w:val="center"/>
        <w:rPr>
          <w:rFonts w:eastAsia="方正小标宋_GBK" w:cs="Times New Roman"/>
          <w:b w:val="0"/>
          <w:bCs w:val="0"/>
          <w:sz w:val="44"/>
          <w:szCs w:val="44"/>
          <w:highlight w:val="none"/>
        </w:rPr>
      </w:pPr>
    </w:p>
    <w:p>
      <w:pPr>
        <w:adjustRightInd w:val="0"/>
        <w:spacing w:line="580" w:lineRule="exact"/>
        <w:jc w:val="center"/>
        <w:rPr>
          <w:rFonts w:eastAsia="方正小标宋_GBK" w:cs="Times New Roman"/>
          <w:b w:val="0"/>
          <w:bCs w:val="0"/>
          <w:sz w:val="44"/>
          <w:szCs w:val="44"/>
          <w:highlight w:val="none"/>
        </w:rPr>
      </w:pPr>
    </w:p>
    <w:p>
      <w:pPr>
        <w:adjustRightInd w:val="0"/>
        <w:spacing w:line="580" w:lineRule="exact"/>
        <w:jc w:val="center"/>
        <w:rPr>
          <w:rFonts w:eastAsia="方正小标宋_GBK" w:cs="Times New Roman"/>
          <w:b w:val="0"/>
          <w:bCs w:val="0"/>
          <w:sz w:val="44"/>
          <w:szCs w:val="44"/>
          <w:highlight w:val="none"/>
        </w:rPr>
      </w:pPr>
    </w:p>
    <w:p>
      <w:pPr>
        <w:adjustRightInd w:val="0"/>
        <w:spacing w:line="580" w:lineRule="exact"/>
        <w:jc w:val="center"/>
        <w:rPr>
          <w:rFonts w:ascii="Times New Roman" w:hAnsi="Times New Roman" w:eastAsia="方正仿宋_GBK" w:cs="Times New Roman"/>
          <w:b w:val="0"/>
          <w:bCs w:val="0"/>
          <w:sz w:val="32"/>
          <w:szCs w:val="32"/>
          <w:highlight w:val="none"/>
        </w:rPr>
      </w:pPr>
      <w:r>
        <w:rPr>
          <w:rFonts w:hint="eastAsia" w:ascii="Times New Roman" w:hAnsi="Times New Roman" w:eastAsia="方正仿宋_GBK" w:cs="方正仿宋_GBK"/>
          <w:b w:val="0"/>
          <w:bCs w:val="0"/>
          <w:sz w:val="32"/>
          <w:szCs w:val="32"/>
          <w:highlight w:val="none"/>
        </w:rPr>
        <w:t>宿政</w:t>
      </w:r>
      <w:r>
        <w:rPr>
          <w:rFonts w:hint="eastAsia" w:ascii="Times New Roman" w:hAnsi="Times New Roman" w:eastAsia="方正仿宋_GBK" w:cs="方正仿宋_GBK"/>
          <w:b w:val="0"/>
          <w:bCs w:val="0"/>
          <w:sz w:val="32"/>
          <w:szCs w:val="32"/>
          <w:highlight w:val="none"/>
          <w:lang w:eastAsia="zh-CN"/>
        </w:rPr>
        <w:t>办</w:t>
      </w:r>
      <w:r>
        <w:rPr>
          <w:rFonts w:hint="eastAsia" w:ascii="Times New Roman" w:hAnsi="Times New Roman" w:eastAsia="方正仿宋_GBK" w:cs="方正仿宋_GBK"/>
          <w:b w:val="0"/>
          <w:bCs w:val="0"/>
          <w:sz w:val="32"/>
          <w:szCs w:val="32"/>
          <w:highlight w:val="none"/>
        </w:rPr>
        <w:t>发〔</w:t>
      </w:r>
      <w:r>
        <w:rPr>
          <w:rFonts w:ascii="Times New Roman" w:hAnsi="Times New Roman" w:eastAsia="方正仿宋_GBK" w:cs="Times New Roman"/>
          <w:b w:val="0"/>
          <w:bCs w:val="0"/>
          <w:sz w:val="32"/>
          <w:szCs w:val="32"/>
          <w:highlight w:val="none"/>
        </w:rPr>
        <w:t>20</w:t>
      </w:r>
      <w:r>
        <w:rPr>
          <w:rFonts w:hint="eastAsia" w:ascii="Times New Roman" w:hAnsi="Times New Roman" w:eastAsia="方正仿宋_GBK" w:cs="Times New Roman"/>
          <w:b w:val="0"/>
          <w:bCs w:val="0"/>
          <w:sz w:val="32"/>
          <w:szCs w:val="32"/>
          <w:highlight w:val="none"/>
          <w:lang w:val="en-US" w:eastAsia="zh-CN"/>
        </w:rPr>
        <w:t>24</w:t>
      </w:r>
      <w:r>
        <w:rPr>
          <w:rFonts w:hint="eastAsia" w:ascii="Times New Roman" w:hAnsi="Times New Roman" w:eastAsia="方正仿宋_GBK" w:cs="方正仿宋_GBK"/>
          <w:b w:val="0"/>
          <w:bCs w:val="0"/>
          <w:sz w:val="32"/>
          <w:szCs w:val="32"/>
          <w:highlight w:val="none"/>
        </w:rPr>
        <w:t>〕</w:t>
      </w:r>
      <w:r>
        <w:rPr>
          <w:rFonts w:hint="eastAsia" w:ascii="Times New Roman" w:hAnsi="Times New Roman" w:eastAsia="方正仿宋_GBK" w:cs="方正仿宋_GBK"/>
          <w:b w:val="0"/>
          <w:bCs w:val="0"/>
          <w:sz w:val="32"/>
          <w:szCs w:val="32"/>
          <w:highlight w:val="none"/>
          <w:lang w:val="en-US" w:eastAsia="zh-CN"/>
        </w:rPr>
        <w:t>18</w:t>
      </w:r>
      <w:r>
        <w:rPr>
          <w:rFonts w:hint="eastAsia" w:ascii="Times New Roman" w:hAnsi="Times New Roman" w:eastAsia="方正仿宋_GBK" w:cs="方正仿宋_GBK"/>
          <w:b w:val="0"/>
          <w:bCs w:val="0"/>
          <w:sz w:val="32"/>
          <w:szCs w:val="32"/>
          <w:highlight w:val="none"/>
        </w:rPr>
        <w:t>号</w:t>
      </w:r>
    </w:p>
    <w:p>
      <w:pPr>
        <w:keepNext w:val="0"/>
        <w:keepLines w:val="0"/>
        <w:pageBreakBefore w:val="0"/>
        <w:widowControl w:val="0"/>
        <w:kinsoku/>
        <w:wordWrap/>
        <w:topLinePunct w:val="0"/>
        <w:autoSpaceDE/>
        <w:autoSpaceDN/>
        <w:bidi w:val="0"/>
        <w:adjustRightInd w:val="0"/>
        <w:snapToGrid/>
        <w:spacing w:line="550" w:lineRule="exact"/>
        <w:jc w:val="center"/>
        <w:textAlignment w:val="auto"/>
        <w:rPr>
          <w:rFonts w:eastAsia="方正小标宋_GBK" w:cs="Times New Roman"/>
          <w:b w:val="0"/>
          <w:bCs w:val="0"/>
          <w:sz w:val="44"/>
          <w:szCs w:val="44"/>
          <w:highlight w:val="none"/>
        </w:rPr>
      </w:pPr>
    </w:p>
    <w:p>
      <w:pPr>
        <w:keepNext w:val="0"/>
        <w:keepLines w:val="0"/>
        <w:pageBreakBefore w:val="0"/>
        <w:widowControl w:val="0"/>
        <w:kinsoku/>
        <w:wordWrap/>
        <w:topLinePunct w:val="0"/>
        <w:autoSpaceDE/>
        <w:autoSpaceDN/>
        <w:bidi w:val="0"/>
        <w:adjustRightInd w:val="0"/>
        <w:snapToGrid/>
        <w:spacing w:line="550" w:lineRule="exact"/>
        <w:jc w:val="center"/>
        <w:textAlignment w:val="auto"/>
        <w:rPr>
          <w:rFonts w:eastAsia="方正小标宋_GBK" w:cs="Times New Roman"/>
          <w:b w:val="0"/>
          <w:bCs w:val="0"/>
          <w:sz w:val="44"/>
          <w:szCs w:val="44"/>
          <w:highlight w:val="none"/>
        </w:rPr>
      </w:pPr>
    </w:p>
    <w:p>
      <w:pPr>
        <w:keepNext w:val="0"/>
        <w:keepLines w:val="0"/>
        <w:pageBreakBefore w:val="0"/>
        <w:widowControl w:val="0"/>
        <w:kinsoku/>
        <w:wordWrap/>
        <w:overflowPunct w:val="0"/>
        <w:topLinePunct w:val="0"/>
        <w:autoSpaceDE/>
        <w:autoSpaceDN/>
        <w:bidi w:val="0"/>
        <w:adjustRightInd/>
        <w:snapToGrid/>
        <w:spacing w:line="550" w:lineRule="exact"/>
        <w:ind w:firstLine="0" w:firstLineChars="0"/>
        <w:jc w:val="center"/>
        <w:textAlignment w:val="auto"/>
        <w:rPr>
          <w:rFonts w:hint="eastAsia" w:ascii="Times New Roman" w:hAnsi="Times New Roman" w:eastAsia="方正小标宋_GBK" w:cs="方正小标宋_GBK"/>
          <w:b w:val="0"/>
          <w:bCs w:val="0"/>
          <w:sz w:val="44"/>
          <w:szCs w:val="44"/>
          <w:highlight w:val="none"/>
        </w:rPr>
      </w:pPr>
      <w:r>
        <w:rPr>
          <w:rFonts w:hint="eastAsia" w:ascii="Times New Roman" w:hAnsi="Times New Roman" w:eastAsia="方正小标宋_GBK" w:cs="方正小标宋_GBK"/>
          <w:b w:val="0"/>
          <w:bCs w:val="0"/>
          <w:sz w:val="44"/>
          <w:szCs w:val="44"/>
          <w:highlight w:val="none"/>
        </w:rPr>
        <w:t>市政府</w:t>
      </w:r>
      <w:r>
        <w:rPr>
          <w:rFonts w:hint="eastAsia" w:ascii="Times New Roman" w:hAnsi="Times New Roman" w:eastAsia="方正小标宋_GBK" w:cs="方正小标宋_GBK"/>
          <w:b w:val="0"/>
          <w:bCs w:val="0"/>
          <w:sz w:val="44"/>
          <w:szCs w:val="44"/>
          <w:highlight w:val="none"/>
          <w:lang w:eastAsia="zh-CN"/>
        </w:rPr>
        <w:t>办公室</w:t>
      </w:r>
      <w:r>
        <w:rPr>
          <w:rFonts w:hint="eastAsia" w:ascii="Times New Roman" w:hAnsi="Times New Roman" w:eastAsia="方正小标宋_GBK" w:cs="方正小标宋_GBK"/>
          <w:b w:val="0"/>
          <w:bCs w:val="0"/>
          <w:sz w:val="44"/>
          <w:szCs w:val="44"/>
          <w:highlight w:val="none"/>
          <w:lang w:val="en-US" w:eastAsia="zh-CN"/>
        </w:rPr>
        <w:t>关于</w:t>
      </w:r>
      <w:r>
        <w:rPr>
          <w:rFonts w:hint="eastAsia" w:ascii="Times New Roman" w:hAnsi="Times New Roman" w:eastAsia="方正小标宋_GBK" w:cs="方正小标宋_GBK"/>
          <w:b w:val="0"/>
          <w:bCs w:val="0"/>
          <w:sz w:val="44"/>
          <w:szCs w:val="44"/>
          <w:highlight w:val="none"/>
        </w:rPr>
        <w:t>印发</w:t>
      </w:r>
    </w:p>
    <w:p>
      <w:pPr>
        <w:keepNext w:val="0"/>
        <w:keepLines w:val="0"/>
        <w:pageBreakBefore w:val="0"/>
        <w:widowControl w:val="0"/>
        <w:kinsoku/>
        <w:wordWrap/>
        <w:overflowPunct w:val="0"/>
        <w:topLinePunct w:val="0"/>
        <w:autoSpaceDE/>
        <w:autoSpaceDN/>
        <w:bidi w:val="0"/>
        <w:adjustRightInd/>
        <w:snapToGrid/>
        <w:spacing w:line="550" w:lineRule="exact"/>
        <w:ind w:firstLine="0" w:firstLineChars="0"/>
        <w:jc w:val="center"/>
        <w:textAlignment w:val="auto"/>
        <w:rPr>
          <w:rFonts w:ascii="方正小标宋_GBK" w:hAnsi="Times New Roman" w:eastAsia="方正小标宋_GBK" w:cs="Times New Roman"/>
          <w:b w:val="0"/>
          <w:bCs w:val="0"/>
          <w:spacing w:val="-11"/>
          <w:sz w:val="44"/>
          <w:szCs w:val="44"/>
          <w:highlight w:val="none"/>
        </w:rPr>
      </w:pPr>
      <w:r>
        <w:rPr>
          <w:rFonts w:hint="default" w:ascii="Times New Roman" w:hAnsi="Times New Roman" w:eastAsia="方正小标宋_GBK" w:cs="Times New Roman"/>
          <w:b w:val="0"/>
          <w:bCs w:val="0"/>
          <w:color w:val="000000"/>
          <w:spacing w:val="-11"/>
          <w:sz w:val="44"/>
          <w:szCs w:val="44"/>
          <w:highlight w:val="none"/>
          <w:u w:val="none"/>
        </w:rPr>
        <w:t>宿迁市</w:t>
      </w:r>
      <w:r>
        <w:rPr>
          <w:rFonts w:hint="eastAsia" w:ascii="Times New Roman" w:hAnsi="Times New Roman" w:eastAsia="方正小标宋_GBK" w:cs="Times New Roman"/>
          <w:b w:val="0"/>
          <w:bCs w:val="0"/>
          <w:color w:val="000000"/>
          <w:spacing w:val="-11"/>
          <w:sz w:val="44"/>
          <w:szCs w:val="44"/>
          <w:highlight w:val="none"/>
          <w:u w:val="none"/>
          <w:lang w:eastAsia="zh-CN"/>
        </w:rPr>
        <w:t>临港产业发展规划</w:t>
      </w:r>
      <w:r>
        <w:rPr>
          <w:rFonts w:hint="default" w:ascii="Times New Roman" w:hAnsi="Times New Roman" w:eastAsia="方正小标宋_GBK" w:cs="Times New Roman"/>
          <w:b w:val="0"/>
          <w:bCs w:val="0"/>
          <w:color w:val="000000"/>
          <w:spacing w:val="-11"/>
          <w:sz w:val="44"/>
          <w:szCs w:val="44"/>
          <w:highlight w:val="none"/>
          <w:u w:val="none"/>
        </w:rPr>
        <w:t>（202</w:t>
      </w:r>
      <w:r>
        <w:rPr>
          <w:rFonts w:hint="eastAsia" w:ascii="Times New Roman" w:hAnsi="Times New Roman" w:eastAsia="方正小标宋_GBK" w:cs="Times New Roman"/>
          <w:b w:val="0"/>
          <w:bCs w:val="0"/>
          <w:color w:val="000000"/>
          <w:spacing w:val="-11"/>
          <w:sz w:val="44"/>
          <w:szCs w:val="44"/>
          <w:highlight w:val="none"/>
          <w:u w:val="none"/>
          <w:lang w:val="en-US" w:eastAsia="zh-CN"/>
        </w:rPr>
        <w:t>4</w:t>
      </w:r>
      <w:r>
        <w:rPr>
          <w:rFonts w:hint="default" w:ascii="Times New Roman" w:hAnsi="Times New Roman" w:eastAsia="方正小标宋_GBK" w:cs="Times New Roman"/>
          <w:b w:val="0"/>
          <w:bCs w:val="0"/>
          <w:color w:val="000000"/>
          <w:spacing w:val="-11"/>
          <w:sz w:val="44"/>
          <w:szCs w:val="44"/>
          <w:highlight w:val="none"/>
          <w:u w:val="none"/>
        </w:rPr>
        <w:t>-20</w:t>
      </w:r>
      <w:r>
        <w:rPr>
          <w:rFonts w:hint="eastAsia" w:ascii="Times New Roman" w:hAnsi="Times New Roman" w:eastAsia="方正小标宋_GBK" w:cs="Times New Roman"/>
          <w:b w:val="0"/>
          <w:bCs w:val="0"/>
          <w:color w:val="000000"/>
          <w:spacing w:val="-11"/>
          <w:sz w:val="44"/>
          <w:szCs w:val="44"/>
          <w:highlight w:val="none"/>
          <w:u w:val="none"/>
          <w:lang w:val="en-US" w:eastAsia="zh-CN"/>
        </w:rPr>
        <w:t>3</w:t>
      </w:r>
      <w:r>
        <w:rPr>
          <w:rFonts w:hint="default" w:ascii="Times New Roman" w:hAnsi="Times New Roman" w:eastAsia="方正小标宋_GBK" w:cs="Times New Roman"/>
          <w:b w:val="0"/>
          <w:bCs w:val="0"/>
          <w:color w:val="000000"/>
          <w:spacing w:val="-11"/>
          <w:sz w:val="44"/>
          <w:szCs w:val="44"/>
          <w:highlight w:val="none"/>
          <w:u w:val="none"/>
        </w:rPr>
        <w:t>5年）</w:t>
      </w:r>
      <w:r>
        <w:rPr>
          <w:rFonts w:hint="eastAsia" w:ascii="Times New Roman" w:hAnsi="Times New Roman" w:eastAsia="方正小标宋_GBK" w:cs="方正小标宋_GBK"/>
          <w:b w:val="0"/>
          <w:bCs w:val="0"/>
          <w:spacing w:val="-11"/>
          <w:sz w:val="44"/>
          <w:szCs w:val="44"/>
          <w:highlight w:val="none"/>
        </w:rPr>
        <w:t>的通知</w:t>
      </w:r>
    </w:p>
    <w:p>
      <w:pPr>
        <w:keepNext w:val="0"/>
        <w:keepLines w:val="0"/>
        <w:pageBreakBefore w:val="0"/>
        <w:widowControl w:val="0"/>
        <w:kinsoku/>
        <w:wordWrap/>
        <w:topLinePunct w:val="0"/>
        <w:autoSpaceDE/>
        <w:autoSpaceDN/>
        <w:bidi w:val="0"/>
        <w:snapToGrid/>
        <w:spacing w:line="550" w:lineRule="exact"/>
        <w:textAlignment w:val="auto"/>
        <w:rPr>
          <w:rFonts w:ascii="Times New Roman" w:hAnsi="Times New Roman" w:cs="Times New Roman"/>
          <w:b w:val="0"/>
          <w:bCs w:val="0"/>
          <w:highlight w:val="none"/>
        </w:rPr>
      </w:pPr>
    </w:p>
    <w:p>
      <w:pPr>
        <w:keepNext w:val="0"/>
        <w:keepLines w:val="0"/>
        <w:pageBreakBefore w:val="0"/>
        <w:widowControl w:val="0"/>
        <w:kinsoku/>
        <w:wordWrap/>
        <w:topLinePunct w:val="0"/>
        <w:autoSpaceDE/>
        <w:autoSpaceDN/>
        <w:bidi w:val="0"/>
        <w:snapToGrid/>
        <w:spacing w:line="550" w:lineRule="exact"/>
        <w:textAlignment w:val="auto"/>
        <w:rPr>
          <w:rFonts w:hint="eastAsia" w:ascii="Times New Roman" w:hAnsi="Times New Roman" w:eastAsia="方正仿宋_GBK" w:cs="方正仿宋_GBK"/>
          <w:b w:val="0"/>
          <w:bCs w:val="0"/>
          <w:kern w:val="0"/>
          <w:sz w:val="32"/>
          <w:szCs w:val="32"/>
          <w:highlight w:val="none"/>
        </w:rPr>
      </w:pPr>
      <w:r>
        <w:rPr>
          <w:rFonts w:hint="eastAsia" w:ascii="Times New Roman" w:hAnsi="Times New Roman" w:eastAsia="方正仿宋_GBK" w:cs="方正仿宋_GBK"/>
          <w:b w:val="0"/>
          <w:bCs w:val="0"/>
          <w:kern w:val="0"/>
          <w:sz w:val="32"/>
          <w:szCs w:val="32"/>
          <w:highlight w:val="none"/>
        </w:rPr>
        <w:t>各县、区人民政府，市各开发区、新区、园区管委会，市各</w:t>
      </w:r>
      <w:r>
        <w:rPr>
          <w:rFonts w:hint="eastAsia" w:ascii="Times New Roman" w:hAnsi="Times New Roman" w:eastAsia="方正仿宋_GBK" w:cs="方正仿宋_GBK"/>
          <w:b w:val="0"/>
          <w:bCs w:val="0"/>
          <w:kern w:val="0"/>
          <w:sz w:val="32"/>
          <w:szCs w:val="32"/>
          <w:highlight w:val="none"/>
          <w:lang w:eastAsia="zh-CN"/>
        </w:rPr>
        <w:t>有关部门和</w:t>
      </w:r>
      <w:r>
        <w:rPr>
          <w:rFonts w:hint="eastAsia" w:ascii="Times New Roman" w:hAnsi="Times New Roman" w:eastAsia="方正仿宋_GBK" w:cs="方正仿宋_GBK"/>
          <w:b w:val="0"/>
          <w:bCs w:val="0"/>
          <w:kern w:val="0"/>
          <w:sz w:val="32"/>
          <w:szCs w:val="32"/>
          <w:highlight w:val="none"/>
        </w:rPr>
        <w:t>单位：</w:t>
      </w:r>
    </w:p>
    <w:p>
      <w:pPr>
        <w:keepNext w:val="0"/>
        <w:keepLines w:val="0"/>
        <w:pageBreakBefore w:val="0"/>
        <w:widowControl w:val="0"/>
        <w:kinsoku/>
        <w:wordWrap/>
        <w:topLinePunct w:val="0"/>
        <w:autoSpaceDE/>
        <w:autoSpaceDN/>
        <w:bidi w:val="0"/>
        <w:snapToGrid/>
        <w:spacing w:line="550" w:lineRule="exact"/>
        <w:ind w:firstLine="640" w:firstLineChars="200"/>
        <w:textAlignment w:val="auto"/>
        <w:rPr>
          <w:rFonts w:hint="eastAsia" w:ascii="Times New Roman" w:hAnsi="Times New Roman" w:eastAsia="方正仿宋_GBK" w:cs="方正仿宋_GBK"/>
          <w:b w:val="0"/>
          <w:bCs w:val="0"/>
          <w:kern w:val="0"/>
          <w:sz w:val="32"/>
          <w:szCs w:val="32"/>
          <w:highlight w:val="none"/>
        </w:rPr>
      </w:pPr>
      <w:r>
        <w:rPr>
          <w:rFonts w:hint="eastAsia" w:ascii="Times New Roman" w:hAnsi="Times New Roman" w:eastAsia="方正仿宋_GBK" w:cs="方正仿宋_GBK"/>
          <w:b w:val="0"/>
          <w:bCs w:val="0"/>
          <w:kern w:val="0"/>
          <w:sz w:val="32"/>
          <w:szCs w:val="32"/>
          <w:highlight w:val="none"/>
          <w:lang w:eastAsia="zh-CN"/>
        </w:rPr>
        <w:t>现将《</w:t>
      </w:r>
      <w:r>
        <w:rPr>
          <w:rFonts w:hint="default" w:ascii="Times New Roman" w:hAnsi="Times New Roman" w:eastAsia="方正仿宋_GBK" w:cs="方正仿宋_GBK"/>
          <w:b w:val="0"/>
          <w:bCs w:val="0"/>
          <w:kern w:val="0"/>
          <w:sz w:val="32"/>
          <w:szCs w:val="32"/>
          <w:highlight w:val="none"/>
        </w:rPr>
        <w:t>宿迁市</w:t>
      </w:r>
      <w:r>
        <w:rPr>
          <w:rFonts w:hint="eastAsia" w:ascii="Times New Roman" w:hAnsi="Times New Roman" w:eastAsia="方正仿宋_GBK" w:cs="方正仿宋_GBK"/>
          <w:b w:val="0"/>
          <w:bCs w:val="0"/>
          <w:kern w:val="0"/>
          <w:sz w:val="32"/>
          <w:szCs w:val="32"/>
          <w:highlight w:val="none"/>
          <w:lang w:eastAsia="zh-CN"/>
        </w:rPr>
        <w:t>临港产业发展规划</w:t>
      </w:r>
      <w:r>
        <w:rPr>
          <w:rFonts w:hint="default" w:ascii="Times New Roman" w:hAnsi="Times New Roman" w:eastAsia="方正仿宋_GBK" w:cs="方正仿宋_GBK"/>
          <w:b w:val="0"/>
          <w:bCs w:val="0"/>
          <w:kern w:val="0"/>
          <w:sz w:val="32"/>
          <w:szCs w:val="32"/>
          <w:highlight w:val="none"/>
        </w:rPr>
        <w:t>（202</w:t>
      </w:r>
      <w:r>
        <w:rPr>
          <w:rFonts w:hint="eastAsia" w:ascii="Times New Roman" w:hAnsi="Times New Roman" w:eastAsia="方正仿宋_GBK" w:cs="方正仿宋_GBK"/>
          <w:b w:val="0"/>
          <w:bCs w:val="0"/>
          <w:kern w:val="0"/>
          <w:sz w:val="32"/>
          <w:szCs w:val="32"/>
          <w:highlight w:val="none"/>
          <w:lang w:val="en-US" w:eastAsia="zh-CN"/>
        </w:rPr>
        <w:t>4</w:t>
      </w:r>
      <w:r>
        <w:rPr>
          <w:rFonts w:hint="default" w:ascii="Times New Roman" w:hAnsi="Times New Roman" w:eastAsia="方正仿宋_GBK" w:cs="方正仿宋_GBK"/>
          <w:b w:val="0"/>
          <w:bCs w:val="0"/>
          <w:kern w:val="0"/>
          <w:sz w:val="32"/>
          <w:szCs w:val="32"/>
          <w:highlight w:val="none"/>
        </w:rPr>
        <w:t>-20</w:t>
      </w:r>
      <w:r>
        <w:rPr>
          <w:rFonts w:hint="eastAsia" w:ascii="Times New Roman" w:hAnsi="Times New Roman" w:eastAsia="方正仿宋_GBK" w:cs="方正仿宋_GBK"/>
          <w:b w:val="0"/>
          <w:bCs w:val="0"/>
          <w:kern w:val="0"/>
          <w:sz w:val="32"/>
          <w:szCs w:val="32"/>
          <w:highlight w:val="none"/>
          <w:lang w:val="en-US" w:eastAsia="zh-CN"/>
        </w:rPr>
        <w:t>3</w:t>
      </w:r>
      <w:r>
        <w:rPr>
          <w:rFonts w:hint="default" w:ascii="Times New Roman" w:hAnsi="Times New Roman" w:eastAsia="方正仿宋_GBK" w:cs="方正仿宋_GBK"/>
          <w:b w:val="0"/>
          <w:bCs w:val="0"/>
          <w:kern w:val="0"/>
          <w:sz w:val="32"/>
          <w:szCs w:val="32"/>
          <w:highlight w:val="none"/>
        </w:rPr>
        <w:t>5年）</w:t>
      </w:r>
      <w:r>
        <w:rPr>
          <w:rFonts w:hint="eastAsia" w:ascii="Times New Roman" w:hAnsi="Times New Roman" w:eastAsia="方正仿宋_GBK" w:cs="方正仿宋_GBK"/>
          <w:b w:val="0"/>
          <w:bCs w:val="0"/>
          <w:kern w:val="0"/>
          <w:sz w:val="32"/>
          <w:szCs w:val="32"/>
          <w:highlight w:val="none"/>
          <w:lang w:eastAsia="zh-CN"/>
        </w:rPr>
        <w:t>》</w:t>
      </w:r>
      <w:r>
        <w:rPr>
          <w:rFonts w:hint="eastAsia" w:ascii="Times New Roman" w:hAnsi="Times New Roman" w:eastAsia="方正仿宋_GBK" w:cs="方正仿宋_GBK"/>
          <w:b w:val="0"/>
          <w:bCs w:val="0"/>
          <w:kern w:val="0"/>
          <w:sz w:val="32"/>
          <w:szCs w:val="32"/>
          <w:highlight w:val="none"/>
        </w:rPr>
        <w:t>印发给你们，请认真贯彻落实。</w:t>
      </w:r>
    </w:p>
    <w:p>
      <w:pPr>
        <w:keepNext w:val="0"/>
        <w:keepLines w:val="0"/>
        <w:pageBreakBefore w:val="0"/>
        <w:widowControl w:val="0"/>
        <w:kinsoku/>
        <w:wordWrap/>
        <w:overflowPunct/>
        <w:topLinePunct w:val="0"/>
        <w:autoSpaceDE/>
        <w:autoSpaceDN/>
        <w:bidi w:val="0"/>
        <w:adjustRightInd/>
        <w:snapToGrid/>
        <w:spacing w:line="500" w:lineRule="exact"/>
        <w:ind w:firstLine="641"/>
        <w:textAlignment w:val="auto"/>
        <w:rPr>
          <w:rFonts w:ascii="Times New Roman" w:hAnsi="Times New Roman" w:eastAsia="方正仿宋_GBK" w:cs="Times New Roman"/>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1"/>
        <w:textAlignment w:val="auto"/>
        <w:rPr>
          <w:rFonts w:ascii="Times New Roman" w:hAnsi="Times New Roman" w:eastAsia="方正仿宋_GBK" w:cs="Times New Roman"/>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41"/>
        <w:textAlignment w:val="auto"/>
        <w:rPr>
          <w:rFonts w:ascii="Times New Roman" w:hAnsi="Times New Roman" w:eastAsia="方正仿宋_GBK" w:cs="Times New Roman"/>
          <w:b w:val="0"/>
          <w:bCs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160" w:firstLineChars="1300"/>
        <w:jc w:val="left"/>
        <w:textAlignment w:val="auto"/>
        <w:rPr>
          <w:rFonts w:hint="eastAsia" w:ascii="Times New Roman" w:hAnsi="Times New Roman" w:eastAsia="方正仿宋_GBK" w:cs="Times New Roman"/>
          <w:b w:val="0"/>
          <w:bCs w:val="0"/>
          <w:sz w:val="32"/>
          <w:szCs w:val="32"/>
          <w:highlight w:val="none"/>
          <w:lang w:eastAsia="zh-CN"/>
        </w:rPr>
      </w:pPr>
      <w:r>
        <w:rPr>
          <w:rFonts w:hint="eastAsia" w:ascii="Times New Roman" w:hAnsi="方正仿宋_GBK" w:eastAsia="方正仿宋_GBK" w:cs="方正仿宋_GBK"/>
          <w:b w:val="0"/>
          <w:bCs w:val="0"/>
          <w:sz w:val="32"/>
          <w:szCs w:val="32"/>
          <w:highlight w:val="none"/>
        </w:rPr>
        <w:t>宿迁市人民政府</w:t>
      </w:r>
      <w:r>
        <w:rPr>
          <w:rFonts w:hint="eastAsia" w:ascii="Times New Roman" w:hAnsi="方正仿宋_GBK" w:eastAsia="方正仿宋_GBK" w:cs="方正仿宋_GBK"/>
          <w:b w:val="0"/>
          <w:bCs w:val="0"/>
          <w:sz w:val="32"/>
          <w:szCs w:val="32"/>
          <w:highlight w:val="none"/>
          <w:lang w:eastAsia="zh-CN"/>
        </w:rPr>
        <w:t>办公室</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4640" w:firstLineChars="1450"/>
        <w:jc w:val="left"/>
        <w:textAlignment w:val="auto"/>
        <w:rPr>
          <w:rFonts w:ascii="Times New Roman" w:hAnsi="方正仿宋_GBK" w:eastAsia="方正仿宋_GBK" w:cs="Times New Roman"/>
          <w:b w:val="0"/>
          <w:bCs w:val="0"/>
          <w:sz w:val="32"/>
          <w:szCs w:val="32"/>
          <w:highlight w:val="none"/>
        </w:rPr>
      </w:pPr>
      <w:r>
        <w:rPr>
          <w:rFonts w:ascii="Times New Roman" w:hAnsi="Times New Roman" w:eastAsia="方正仿宋_GBK" w:cs="Times New Roman"/>
          <w:b w:val="0"/>
          <w:bCs w:val="0"/>
          <w:sz w:val="32"/>
          <w:szCs w:val="32"/>
          <w:highlight w:val="none"/>
        </w:rPr>
        <w:t>20</w:t>
      </w:r>
      <w:r>
        <w:rPr>
          <w:rFonts w:hint="eastAsia" w:ascii="Times New Roman" w:hAnsi="Times New Roman" w:eastAsia="方正仿宋_GBK" w:cs="Times New Roman"/>
          <w:b w:val="0"/>
          <w:bCs w:val="0"/>
          <w:sz w:val="32"/>
          <w:szCs w:val="32"/>
          <w:highlight w:val="none"/>
          <w:lang w:val="en-US" w:eastAsia="zh-CN"/>
        </w:rPr>
        <w:t>24</w:t>
      </w:r>
      <w:r>
        <w:rPr>
          <w:rFonts w:hint="eastAsia" w:ascii="Times New Roman" w:hAnsi="方正仿宋_GBK" w:eastAsia="方正仿宋_GBK" w:cs="方正仿宋_GBK"/>
          <w:b w:val="0"/>
          <w:bCs w:val="0"/>
          <w:sz w:val="32"/>
          <w:szCs w:val="32"/>
          <w:highlight w:val="none"/>
        </w:rPr>
        <w:t>年</w:t>
      </w:r>
      <w:r>
        <w:rPr>
          <w:rFonts w:hint="eastAsia" w:ascii="Times New Roman" w:hAnsi="方正仿宋_GBK" w:eastAsia="方正仿宋_GBK" w:cs="方正仿宋_GBK"/>
          <w:b w:val="0"/>
          <w:bCs w:val="0"/>
          <w:sz w:val="32"/>
          <w:szCs w:val="32"/>
          <w:highlight w:val="none"/>
          <w:lang w:val="en-US" w:eastAsia="zh-CN"/>
        </w:rPr>
        <w:t>3</w:t>
      </w:r>
      <w:r>
        <w:rPr>
          <w:rFonts w:hint="eastAsia" w:ascii="Times New Roman" w:hAnsi="方正仿宋_GBK" w:eastAsia="方正仿宋_GBK" w:cs="方正仿宋_GBK"/>
          <w:b w:val="0"/>
          <w:bCs w:val="0"/>
          <w:sz w:val="32"/>
          <w:szCs w:val="32"/>
          <w:highlight w:val="none"/>
        </w:rPr>
        <w:t>月</w:t>
      </w:r>
      <w:r>
        <w:rPr>
          <w:rFonts w:hint="eastAsia" w:ascii="Times New Roman" w:hAnsi="方正仿宋_GBK" w:eastAsia="方正仿宋_GBK" w:cs="方正仿宋_GBK"/>
          <w:b w:val="0"/>
          <w:bCs w:val="0"/>
          <w:sz w:val="32"/>
          <w:szCs w:val="32"/>
          <w:highlight w:val="none"/>
          <w:lang w:val="en-US" w:eastAsia="zh-CN"/>
        </w:rPr>
        <w:t>6</w:t>
      </w:r>
      <w:r>
        <w:rPr>
          <w:rFonts w:hint="eastAsia" w:ascii="Times New Roman" w:hAnsi="方正仿宋_GBK" w:eastAsia="方正仿宋_GBK" w:cs="方正仿宋_GBK"/>
          <w:b w:val="0"/>
          <w:bCs w:val="0"/>
          <w:sz w:val="32"/>
          <w:szCs w:val="32"/>
          <w:highlight w:val="none"/>
        </w:rPr>
        <w:t>日</w:t>
      </w:r>
    </w:p>
    <w:p>
      <w:pPr>
        <w:spacing w:line="580" w:lineRule="exact"/>
        <w:ind w:firstLine="640" w:firstLineChars="200"/>
        <w:rPr>
          <w:rFonts w:ascii="Times New Roman" w:hAnsi="Times New Roman" w:eastAsia="方正仿宋_GBK" w:cs="Times New Roman"/>
          <w:b w:val="0"/>
          <w:bCs w:val="0"/>
          <w:sz w:val="32"/>
          <w:szCs w:val="32"/>
          <w:highlight w:val="none"/>
        </w:rPr>
      </w:pPr>
      <w:r>
        <w:rPr>
          <w:rFonts w:hint="eastAsia" w:ascii="Times New Roman" w:hAnsi="方正仿宋_GBK" w:eastAsia="方正仿宋_GBK" w:cs="方正仿宋_GBK"/>
          <w:b w:val="0"/>
          <w:bCs w:val="0"/>
          <w:sz w:val="32"/>
          <w:szCs w:val="32"/>
          <w:highlight w:val="none"/>
        </w:rPr>
        <w:t>（此件公开发布）</w:t>
      </w:r>
    </w:p>
    <w:p>
      <w:pPr>
        <w:rPr>
          <w:rFonts w:hint="default" w:ascii="Times New Roman" w:hAnsi="Times New Roman" w:eastAsia="方正黑体_GBK" w:cs="Times New Roman"/>
          <w:b w:val="0"/>
          <w:bCs w:val="0"/>
          <w:sz w:val="32"/>
          <w:szCs w:val="36"/>
        </w:rPr>
      </w:pPr>
    </w:p>
    <w:p>
      <w:pPr>
        <w:pStyle w:val="11"/>
        <w:keepNext w:val="0"/>
        <w:keepLines w:val="0"/>
        <w:pageBreakBefore w:val="0"/>
        <w:widowControl w:val="0"/>
        <w:kinsoku/>
        <w:wordWrap/>
        <w:overflowPunct w:val="0"/>
        <w:topLinePunct w:val="0"/>
        <w:autoSpaceDE/>
        <w:autoSpaceDN/>
        <w:bidi w:val="0"/>
        <w:adjustRightInd/>
        <w:snapToGrid/>
        <w:spacing w:after="0" w:line="550" w:lineRule="exact"/>
        <w:textAlignment w:val="auto"/>
        <w:rPr>
          <w:rFonts w:hint="default"/>
          <w:b w:val="0"/>
          <w:bCs w:val="0"/>
        </w:rPr>
      </w:pPr>
    </w:p>
    <w:p>
      <w:pPr>
        <w:pStyle w:val="11"/>
        <w:keepNext w:val="0"/>
        <w:keepLines w:val="0"/>
        <w:pageBreakBefore w:val="0"/>
        <w:widowControl w:val="0"/>
        <w:kinsoku/>
        <w:wordWrap/>
        <w:overflowPunct w:val="0"/>
        <w:topLinePunct w:val="0"/>
        <w:autoSpaceDE/>
        <w:autoSpaceDN/>
        <w:bidi w:val="0"/>
        <w:adjustRightInd/>
        <w:snapToGrid/>
        <w:spacing w:after="0" w:line="550" w:lineRule="exact"/>
        <w:ind w:left="0" w:leftChars="0" w:firstLine="0" w:firstLineChars="0"/>
        <w:jc w:val="center"/>
        <w:textAlignment w:val="auto"/>
        <w:rPr>
          <w:rFonts w:hint="default"/>
          <w:b w:val="0"/>
          <w:bCs w:val="0"/>
        </w:rPr>
      </w:pPr>
      <w:r>
        <w:rPr>
          <w:rFonts w:hint="default" w:ascii="Times New Roman" w:hAnsi="Times New Roman" w:eastAsia="方正小标宋_GBK" w:cs="Times New Roman"/>
          <w:b w:val="0"/>
          <w:bCs w:val="0"/>
          <w:color w:val="000000"/>
          <w:spacing w:val="-11"/>
          <w:sz w:val="44"/>
          <w:szCs w:val="44"/>
          <w:highlight w:val="none"/>
          <w:u w:val="none"/>
        </w:rPr>
        <w:t>宿迁市</w:t>
      </w:r>
      <w:r>
        <w:rPr>
          <w:rFonts w:hint="eastAsia" w:ascii="Times New Roman" w:hAnsi="Times New Roman" w:eastAsia="方正小标宋_GBK" w:cs="Times New Roman"/>
          <w:b w:val="0"/>
          <w:bCs w:val="0"/>
          <w:color w:val="000000"/>
          <w:spacing w:val="-11"/>
          <w:sz w:val="44"/>
          <w:szCs w:val="44"/>
          <w:highlight w:val="none"/>
          <w:u w:val="none"/>
          <w:lang w:eastAsia="zh-CN"/>
        </w:rPr>
        <w:t>临港产业发展规划</w:t>
      </w:r>
      <w:r>
        <w:rPr>
          <w:rFonts w:hint="default" w:ascii="Times New Roman" w:hAnsi="Times New Roman" w:eastAsia="方正小标宋_GBK" w:cs="Times New Roman"/>
          <w:b w:val="0"/>
          <w:bCs w:val="0"/>
          <w:color w:val="000000"/>
          <w:spacing w:val="-11"/>
          <w:sz w:val="44"/>
          <w:szCs w:val="44"/>
          <w:highlight w:val="none"/>
          <w:u w:val="none"/>
        </w:rPr>
        <w:t>（202</w:t>
      </w:r>
      <w:r>
        <w:rPr>
          <w:rFonts w:hint="eastAsia" w:ascii="Times New Roman" w:hAnsi="Times New Roman" w:eastAsia="方正小标宋_GBK" w:cs="Times New Roman"/>
          <w:b w:val="0"/>
          <w:bCs w:val="0"/>
          <w:color w:val="000000"/>
          <w:spacing w:val="-11"/>
          <w:sz w:val="44"/>
          <w:szCs w:val="44"/>
          <w:highlight w:val="none"/>
          <w:u w:val="none"/>
          <w:lang w:val="en-US" w:eastAsia="zh-CN"/>
        </w:rPr>
        <w:t>4</w:t>
      </w:r>
      <w:r>
        <w:rPr>
          <w:rFonts w:hint="default" w:ascii="Times New Roman" w:hAnsi="Times New Roman" w:eastAsia="方正小标宋_GBK" w:cs="Times New Roman"/>
          <w:b w:val="0"/>
          <w:bCs w:val="0"/>
          <w:color w:val="000000"/>
          <w:spacing w:val="-11"/>
          <w:sz w:val="44"/>
          <w:szCs w:val="44"/>
          <w:highlight w:val="none"/>
          <w:u w:val="none"/>
        </w:rPr>
        <w:t>-20</w:t>
      </w:r>
      <w:r>
        <w:rPr>
          <w:rFonts w:hint="eastAsia" w:ascii="Times New Roman" w:hAnsi="Times New Roman" w:eastAsia="方正小标宋_GBK" w:cs="Times New Roman"/>
          <w:b w:val="0"/>
          <w:bCs w:val="0"/>
          <w:color w:val="000000"/>
          <w:spacing w:val="-11"/>
          <w:sz w:val="44"/>
          <w:szCs w:val="44"/>
          <w:highlight w:val="none"/>
          <w:u w:val="none"/>
          <w:lang w:val="en-US" w:eastAsia="zh-CN"/>
        </w:rPr>
        <w:t>3</w:t>
      </w:r>
      <w:r>
        <w:rPr>
          <w:rFonts w:hint="default" w:ascii="Times New Roman" w:hAnsi="Times New Roman" w:eastAsia="方正小标宋_GBK" w:cs="Times New Roman"/>
          <w:b w:val="0"/>
          <w:bCs w:val="0"/>
          <w:color w:val="000000"/>
          <w:spacing w:val="-11"/>
          <w:sz w:val="44"/>
          <w:szCs w:val="44"/>
          <w:highlight w:val="none"/>
          <w:u w:val="none"/>
        </w:rPr>
        <w:t>5年）</w:t>
      </w:r>
    </w:p>
    <w:p>
      <w:pPr>
        <w:keepNext w:val="0"/>
        <w:keepLines w:val="0"/>
        <w:pageBreakBefore w:val="0"/>
        <w:widowControl w:val="0"/>
        <w:kinsoku/>
        <w:wordWrap/>
        <w:overflowPunct w:val="0"/>
        <w:topLinePunct w:val="0"/>
        <w:autoSpaceDE/>
        <w:autoSpaceDN/>
        <w:bidi w:val="0"/>
        <w:adjustRightInd/>
        <w:snapToGrid/>
        <w:spacing w:line="550" w:lineRule="exact"/>
        <w:textAlignment w:val="auto"/>
        <w:rPr>
          <w:rFonts w:hint="default"/>
          <w:b w:val="0"/>
          <w:bCs w:val="0"/>
        </w:rPr>
      </w:pPr>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为全面提高宿迁港航发展水平，促进临港产业高端化发展，推动港产城融合发展迈上新台阶，打造沿河港口群和特色产业带，探索一条“以水兴产</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以水兴城”的黄金水道发展之路，特编制本规划。规划范围是京杭运河、宿连航道和徐洪河等3级及以上航道沿线陆域，规划期限为2024-2035年，其中近期为2025年，远期为2035年。</w:t>
      </w:r>
    </w:p>
    <w:p>
      <w:pPr>
        <w:keepNext w:val="0"/>
        <w:keepLines w:val="0"/>
        <w:pageBreakBefore w:val="0"/>
        <w:widowControl w:val="0"/>
        <w:kinsoku/>
        <w:wordWrap/>
        <w:overflowPunct/>
        <w:autoSpaceDE/>
        <w:autoSpaceDN/>
        <w:bidi w:val="0"/>
        <w:adjustRightInd/>
        <w:snapToGrid/>
        <w:spacing w:line="550" w:lineRule="exact"/>
        <w:ind w:firstLine="640" w:firstLineChars="200"/>
        <w:textAlignment w:val="auto"/>
        <w:outlineLvl w:val="0"/>
        <w:rPr>
          <w:rFonts w:hint="default" w:ascii="Times New Roman" w:hAnsi="Times New Roman" w:eastAsia="方正黑体_GBK" w:cs="Times New Roman"/>
          <w:b w:val="0"/>
          <w:bCs w:val="0"/>
          <w:sz w:val="32"/>
          <w:szCs w:val="36"/>
        </w:rPr>
      </w:pPr>
      <w:r>
        <w:rPr>
          <w:rFonts w:hint="default" w:ascii="Times New Roman" w:hAnsi="Times New Roman" w:eastAsia="方正黑体_GBK" w:cs="Times New Roman"/>
          <w:b w:val="0"/>
          <w:bCs w:val="0"/>
          <w:sz w:val="32"/>
          <w:szCs w:val="36"/>
        </w:rPr>
        <w:t>一、发展基础</w:t>
      </w:r>
      <w:bookmarkEnd w:id="1"/>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近年来，宿迁港航稳步发展，基本形成以中心港区为主港区，沭阳、泗阳、泗洪三港区为翼的“一体三翼”内河水运枢纽格局，有力带动了区域经济社会发展。</w:t>
      </w:r>
    </w:p>
    <w:p>
      <w:pPr>
        <w:keepNext w:val="0"/>
        <w:keepLines w:val="0"/>
        <w:pageBreakBefore w:val="0"/>
        <w:widowControl w:val="0"/>
        <w:kinsoku/>
        <w:wordWrap/>
        <w:overflowPunct/>
        <w:autoSpaceDE/>
        <w:autoSpaceDN/>
        <w:bidi w:val="0"/>
        <w:adjustRightInd/>
        <w:snapToGrid/>
        <w:spacing w:line="550" w:lineRule="exact"/>
        <w:ind w:firstLine="640" w:firstLineChars="200"/>
        <w:textAlignment w:val="auto"/>
        <w:outlineLvl w:val="1"/>
        <w:rPr>
          <w:rFonts w:hint="default" w:ascii="Times New Roman" w:hAnsi="Times New Roman" w:eastAsia="方正楷体_GBK" w:cs="Times New Roman"/>
          <w:b w:val="0"/>
          <w:bCs w:val="0"/>
          <w:sz w:val="32"/>
          <w:szCs w:val="36"/>
        </w:rPr>
      </w:pPr>
      <w:bookmarkStart w:id="2" w:name="_Toc23151"/>
      <w:r>
        <w:rPr>
          <w:rFonts w:hint="default" w:ascii="Times New Roman" w:hAnsi="Times New Roman" w:eastAsia="方正楷体_GBK" w:cs="Times New Roman"/>
          <w:b w:val="0"/>
          <w:bCs w:val="0"/>
          <w:sz w:val="32"/>
          <w:szCs w:val="36"/>
        </w:rPr>
        <w:t>（一）发展现状</w:t>
      </w:r>
      <w:bookmarkEnd w:id="2"/>
    </w:p>
    <w:p>
      <w:pPr>
        <w:keepNext w:val="0"/>
        <w:keepLines w:val="0"/>
        <w:pageBreakBefore w:val="0"/>
        <w:widowControl w:val="0"/>
        <w:kinsoku/>
        <w:wordWrap/>
        <w:overflowPunct/>
        <w:topLinePunct/>
        <w:autoSpaceDE/>
        <w:autoSpaceDN/>
        <w:bidi w:val="0"/>
        <w:adjustRightInd/>
        <w:snapToGrid/>
        <w:spacing w:line="550" w:lineRule="exact"/>
        <w:ind w:firstLine="640" w:firstLineChars="200"/>
        <w:textAlignment w:val="auto"/>
        <w:outlineLvl w:val="9"/>
        <w:rPr>
          <w:rFonts w:hint="default" w:ascii="Times New Roman" w:hAnsi="Times New Roman" w:eastAsia="方正仿宋_GBK" w:cs="Times New Roman"/>
          <w:b w:val="0"/>
          <w:bCs w:val="0"/>
          <w:sz w:val="32"/>
          <w:szCs w:val="32"/>
        </w:rPr>
      </w:pPr>
      <w:bookmarkStart w:id="3" w:name="_Toc159339940"/>
      <w:bookmarkStart w:id="4" w:name="_Toc156482266"/>
      <w:bookmarkStart w:id="5" w:name="_Toc148968207"/>
      <w:bookmarkStart w:id="6" w:name="_Toc149638734"/>
      <w:bookmarkStart w:id="7" w:name="_Toc156925270"/>
      <w:bookmarkStart w:id="8" w:name="_Toc148367421"/>
      <w:bookmarkStart w:id="9" w:name="_Toc156429049"/>
      <w:bookmarkStart w:id="10" w:name="_Toc150419758"/>
      <w:bookmarkStart w:id="11" w:name="_Toc148627518"/>
      <w:bookmarkStart w:id="12" w:name="_Toc152347399"/>
      <w:bookmarkStart w:id="13" w:name="_Toc156429383"/>
      <w:bookmarkStart w:id="14" w:name="_Toc149432801"/>
      <w:bookmarkStart w:id="15" w:name="_Toc157594494"/>
      <w:bookmarkStart w:id="16" w:name="_Toc156429247"/>
      <w:bookmarkStart w:id="17" w:name="_Toc150428991"/>
      <w:r>
        <w:rPr>
          <w:rFonts w:hint="default" w:ascii="Times New Roman" w:hAnsi="Times New Roman" w:eastAsia="方正楷体_GBK" w:cs="Times New Roman"/>
          <w:b w:val="0"/>
          <w:bCs w:val="0"/>
          <w:sz w:val="32"/>
          <w:szCs w:val="32"/>
        </w:rPr>
        <w:t>1. 地理位置较为优越，交通网络逐步完善。</w:t>
      </w:r>
      <w:r>
        <w:rPr>
          <w:rFonts w:hint="default" w:ascii="Times New Roman" w:hAnsi="Times New Roman" w:eastAsia="方正仿宋_GBK" w:cs="Times New Roman"/>
          <w:b w:val="0"/>
          <w:bCs w:val="0"/>
          <w:sz w:val="32"/>
          <w:szCs w:val="32"/>
        </w:rPr>
        <w:t>宿迁位于江苏北部苏鲁豫皖四省交汇地的中心位置，地处淮海经济区核心区，属淮海经济圈、长江经济圈的交叉辐射区，位于连云港-徐州-淮安国家综合货运枢纽的几何中心位置，地理位置优越。近年来，全市交通网络体系不断完善，为宿迁港的发展创造了良好的区位交通条件。一是高速路网发达，京沪高速、徐宿淮盐高速、新扬高速和宿连高速形成了“两横两纵”的高速主通道，实现与周边所有地市的高速直连，拉近了宿迁与长三角经济圈的接轨距离。二是水运航道资源优越，京杭大运河纵贯宿迁南北全境，单船水运通过能力达3000吨级，淮河途径泗洪县、洪泽湖交汇于京杭大运河，正在建设的宿连航道连接连云港港和京杭大运河，建成通航后将打通东向出海新通道，实现宿迁内河港与海港快速联通。三是铁路路网不断完善，新长铁路、宿淮铁路穿境而过，宿迁港中心港区铁路专用线即将建成投运，即将拥有公铁水多式联运载体，大大提升港航物流辐射能力，有力带动地区经济社会发展。</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2"/>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drawing>
          <wp:anchor distT="0" distB="0" distL="0" distR="0" simplePos="0" relativeHeight="251664384" behindDoc="0" locked="0" layoutInCell="1" allowOverlap="1">
            <wp:simplePos x="0" y="0"/>
            <wp:positionH relativeFrom="column">
              <wp:posOffset>179705</wp:posOffset>
            </wp:positionH>
            <wp:positionV relativeFrom="paragraph">
              <wp:posOffset>177165</wp:posOffset>
            </wp:positionV>
            <wp:extent cx="5254625" cy="5457190"/>
            <wp:effectExtent l="0" t="0" r="0" b="0"/>
            <wp:wrapNone/>
            <wp:docPr id="1903380032" name="图片 190338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380032" name="图片 19033800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54625" cy="5457190"/>
                    </a:xfrm>
                    <a:prstGeom prst="rect">
                      <a:avLst/>
                    </a:prstGeom>
                    <a:noFill/>
                  </pic:spPr>
                </pic:pic>
              </a:graphicData>
            </a:graphic>
          </wp:anchor>
        </w:drawing>
      </w:r>
    </w:p>
    <w:p>
      <w:pPr>
        <w:pStyle w:val="5"/>
        <w:rPr>
          <w:rFonts w:hint="default" w:ascii="Times New Roman" w:hAnsi="Times New Roman" w:eastAsia="方正仿宋_GBK" w:cs="Times New Roman"/>
          <w:b w:val="0"/>
          <w:bCs w:val="0"/>
          <w:sz w:val="32"/>
          <w:szCs w:val="32"/>
        </w:rPr>
      </w:pPr>
    </w:p>
    <w:p>
      <w:pPr>
        <w:pStyle w:val="5"/>
        <w:rPr>
          <w:rFonts w:hint="default" w:ascii="Times New Roman" w:hAnsi="Times New Roman" w:eastAsia="方正仿宋_GBK" w:cs="Times New Roman"/>
          <w:b w:val="0"/>
          <w:bCs w:val="0"/>
          <w:sz w:val="32"/>
          <w:szCs w:val="32"/>
        </w:rPr>
      </w:pPr>
    </w:p>
    <w:p>
      <w:pPr>
        <w:pStyle w:val="5"/>
        <w:rPr>
          <w:rFonts w:hint="default" w:ascii="Times New Roman" w:hAnsi="Times New Roman" w:eastAsia="方正仿宋_GBK" w:cs="Times New Roman"/>
          <w:b w:val="0"/>
          <w:bCs w:val="0"/>
          <w:sz w:val="32"/>
          <w:szCs w:val="32"/>
        </w:rPr>
      </w:pPr>
    </w:p>
    <w:p>
      <w:pPr>
        <w:pStyle w:val="5"/>
        <w:rPr>
          <w:rFonts w:hint="default" w:ascii="Times New Roman" w:hAnsi="Times New Roman" w:eastAsia="方正仿宋_GBK" w:cs="Times New Roman"/>
          <w:b w:val="0"/>
          <w:bCs w:val="0"/>
          <w:sz w:val="32"/>
          <w:szCs w:val="32"/>
        </w:rPr>
      </w:pPr>
    </w:p>
    <w:p>
      <w:pPr>
        <w:pStyle w:val="5"/>
        <w:rPr>
          <w:rFonts w:hint="default" w:ascii="Times New Roman" w:hAnsi="Times New Roman" w:eastAsia="方正仿宋_GBK" w:cs="Times New Roman"/>
          <w:b w:val="0"/>
          <w:bCs w:val="0"/>
          <w:sz w:val="32"/>
          <w:szCs w:val="32"/>
        </w:rPr>
      </w:pPr>
    </w:p>
    <w:p>
      <w:pPr>
        <w:pStyle w:val="5"/>
        <w:rPr>
          <w:rFonts w:hint="default" w:ascii="Times New Roman" w:hAnsi="Times New Roman" w:eastAsia="方正仿宋_GBK" w:cs="Times New Roman"/>
          <w:b w:val="0"/>
          <w:bCs w:val="0"/>
          <w:sz w:val="32"/>
          <w:szCs w:val="32"/>
        </w:rPr>
      </w:pPr>
    </w:p>
    <w:p>
      <w:pPr>
        <w:pStyle w:val="5"/>
        <w:rPr>
          <w:rFonts w:hint="default" w:ascii="Times New Roman" w:hAnsi="Times New Roman" w:eastAsia="方正仿宋_GBK" w:cs="Times New Roman"/>
          <w:b w:val="0"/>
          <w:bCs w:val="0"/>
          <w:sz w:val="32"/>
          <w:szCs w:val="32"/>
        </w:rPr>
      </w:pPr>
    </w:p>
    <w:p>
      <w:pPr>
        <w:pStyle w:val="5"/>
        <w:rPr>
          <w:rFonts w:hint="default" w:ascii="Times New Roman" w:hAnsi="Times New Roman" w:eastAsia="方正仿宋_GBK" w:cs="Times New Roman"/>
          <w:b w:val="0"/>
          <w:bCs w:val="0"/>
          <w:sz w:val="32"/>
          <w:szCs w:val="32"/>
        </w:rPr>
      </w:pPr>
    </w:p>
    <w:p>
      <w:pPr>
        <w:pStyle w:val="5"/>
        <w:rPr>
          <w:rFonts w:hint="default" w:ascii="Times New Roman" w:hAnsi="Times New Roman" w:eastAsia="方正仿宋_GBK" w:cs="Times New Roman"/>
          <w:b w:val="0"/>
          <w:bCs w:val="0"/>
          <w:sz w:val="32"/>
          <w:szCs w:val="32"/>
        </w:rPr>
      </w:pPr>
    </w:p>
    <w:p>
      <w:pPr>
        <w:pStyle w:val="5"/>
        <w:rPr>
          <w:rFonts w:hint="default" w:ascii="Times New Roman" w:hAnsi="Times New Roman" w:eastAsia="方正仿宋_GBK" w:cs="Times New Roman"/>
          <w:b w:val="0"/>
          <w:bCs w:val="0"/>
          <w:sz w:val="32"/>
          <w:szCs w:val="32"/>
        </w:rPr>
      </w:pPr>
    </w:p>
    <w:p>
      <w:pPr>
        <w:pStyle w:val="5"/>
        <w:rPr>
          <w:rFonts w:hint="default" w:ascii="Times New Roman" w:hAnsi="Times New Roman" w:eastAsia="方正仿宋_GBK" w:cs="Times New Roman"/>
          <w:b w:val="0"/>
          <w:bCs w:val="0"/>
          <w:sz w:val="32"/>
          <w:szCs w:val="32"/>
        </w:rPr>
      </w:pPr>
    </w:p>
    <w:p>
      <w:pPr>
        <w:topLinePunct/>
        <w:jc w:val="center"/>
        <w:rPr>
          <w:rFonts w:hint="default" w:ascii="Times New Roman" w:hAnsi="Times New Roman" w:eastAsia="方正黑体_GBK" w:cs="Times New Roman"/>
          <w:b w:val="0"/>
          <w:bCs w:val="0"/>
          <w:sz w:val="24"/>
          <w:szCs w:val="24"/>
        </w:rPr>
      </w:pPr>
      <w:r>
        <w:rPr>
          <w:rFonts w:hint="default" w:ascii="Times New Roman" w:hAnsi="Times New Roman" w:eastAsia="方正黑体_GBK" w:cs="Times New Roman"/>
          <w:b w:val="0"/>
          <w:bCs w:val="0"/>
          <w:sz w:val="24"/>
          <w:szCs w:val="24"/>
        </w:rPr>
        <w:t>图1  宿迁交通网络示意图</w:t>
      </w:r>
    </w:p>
    <w:p>
      <w:pPr>
        <w:keepNext w:val="0"/>
        <w:keepLines w:val="0"/>
        <w:pageBreakBefore w:val="0"/>
        <w:widowControl w:val="0"/>
        <w:kinsoku/>
        <w:wordWrap/>
        <w:overflowPunct/>
        <w:topLinePunct/>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b w:val="0"/>
          <w:bCs w:val="0"/>
          <w:sz w:val="32"/>
          <w:szCs w:val="32"/>
        </w:rPr>
      </w:pPr>
      <w:bookmarkStart w:id="18" w:name="_Toc156482267"/>
      <w:bookmarkStart w:id="19" w:name="_Toc159339941"/>
      <w:bookmarkStart w:id="20" w:name="_Toc156429384"/>
      <w:bookmarkStart w:id="21" w:name="_Toc152347400"/>
      <w:bookmarkStart w:id="22" w:name="_Toc150428992"/>
      <w:bookmarkStart w:id="23" w:name="_Toc150419759"/>
      <w:bookmarkStart w:id="24" w:name="_Toc148627519"/>
      <w:bookmarkStart w:id="25" w:name="_Toc156925271"/>
      <w:bookmarkStart w:id="26" w:name="_Toc148968208"/>
      <w:bookmarkStart w:id="27" w:name="_Toc149638735"/>
      <w:bookmarkStart w:id="28" w:name="_Toc157594495"/>
      <w:bookmarkStart w:id="29" w:name="_Toc148367422"/>
      <w:bookmarkStart w:id="30" w:name="_Toc149432802"/>
      <w:bookmarkStart w:id="31" w:name="_Toc156429050"/>
      <w:bookmarkStart w:id="32" w:name="_Toc156429248"/>
      <w:r>
        <w:rPr>
          <w:rFonts w:hint="default" w:ascii="Times New Roman" w:hAnsi="Times New Roman" w:eastAsia="方正仿宋_GBK" w:cs="Times New Roman"/>
          <w:b w:val="0"/>
          <w:bCs w:val="0"/>
          <w:sz w:val="32"/>
          <w:szCs w:val="32"/>
        </w:rPr>
        <w:t xml:space="preserve">2. </w:t>
      </w:r>
      <w:r>
        <w:rPr>
          <w:rFonts w:hint="default" w:ascii="Times New Roman" w:hAnsi="Times New Roman" w:eastAsia="方正楷体_GBK" w:cs="Times New Roman"/>
          <w:b w:val="0"/>
          <w:bCs w:val="0"/>
          <w:sz w:val="32"/>
          <w:szCs w:val="32"/>
        </w:rPr>
        <w:t>岸线资源有序利用，码头建设稳步推进。</w:t>
      </w:r>
      <w:r>
        <w:rPr>
          <w:rFonts w:hint="default" w:ascii="Times New Roman" w:hAnsi="Times New Roman" w:eastAsia="方正仿宋_GBK" w:cs="Times New Roman"/>
          <w:b w:val="0"/>
          <w:bCs w:val="0"/>
          <w:sz w:val="32"/>
          <w:szCs w:val="32"/>
        </w:rPr>
        <w:t>宿迁拥有洪泽湖、骆马湖以及京杭运河、宿连</w:t>
      </w:r>
      <w:r>
        <w:rPr>
          <w:rFonts w:hint="eastAsia" w:ascii="Times New Roman" w:hAnsi="Times New Roman" w:eastAsia="方正仿宋_GBK" w:cs="Times New Roman"/>
          <w:b w:val="0"/>
          <w:bCs w:val="0"/>
          <w:sz w:val="32"/>
          <w:szCs w:val="32"/>
          <w:lang w:eastAsia="zh-CN"/>
        </w:rPr>
        <w:t>航道</w:t>
      </w:r>
      <w:r>
        <w:rPr>
          <w:rFonts w:hint="default" w:ascii="Times New Roman" w:hAnsi="Times New Roman" w:eastAsia="方正仿宋_GBK" w:cs="Times New Roman"/>
          <w:b w:val="0"/>
          <w:bCs w:val="0"/>
          <w:sz w:val="32"/>
          <w:szCs w:val="32"/>
        </w:rPr>
        <w:t>、淮河等重要湖泊河道，水网密布、航道众多（共有航道35条，其中等级航道18条），航道总里程达到979.67公里，其中等级航道里程662.13公里、三级及以上航道里程142.95公里。依托得天独厚的航道资源和丰富的岸线资源，宿迁港上轮规划港口岸线总长度约为38.2公里，76%的岸线位于高等级航道（三级及以上），其中三级航道的岸线占比33.0%，二级航道的岸线占比43%。岸线资源方面</w:t>
      </w:r>
      <w:r>
        <w:rPr>
          <w:rFonts w:hint="eastAsia" w:ascii="方正仿宋_GBK" w:hAnsi="方正仿宋_GBK" w:eastAsia="方正仿宋_GBK" w:cs="方正仿宋_GBK"/>
          <w:b w:val="0"/>
          <w:bCs w:val="0"/>
          <w:sz w:val="32"/>
          <w:szCs w:val="32"/>
        </w:rPr>
        <w:t>，</w:t>
      </w:r>
      <w:r>
        <w:rPr>
          <w:rFonts w:hint="default" w:ascii="Times New Roman" w:hAnsi="Times New Roman" w:eastAsia="方正仿宋_GBK" w:cs="Times New Roman"/>
          <w:b w:val="0"/>
          <w:bCs w:val="0"/>
          <w:color w:val="auto"/>
          <w:sz w:val="32"/>
          <w:szCs w:val="32"/>
          <w:highlight w:val="none"/>
        </w:rPr>
        <w:t>截至2023年底，宿迁港已利用港口岸线长度13.5千米，占规划港口岸线35.3%</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sz w:val="32"/>
          <w:szCs w:val="32"/>
        </w:rPr>
        <w:t>目前利用的岸线主要集中在京杭运河及其邻近河流岸线上，这些河流航道水深条件较好，且有临港产业作为依托，整体利用率和发展水平较高。港口占用岸线不多，为下一步持续优化发展提供了较好的空间条件。港口码头泊位方面，</w:t>
      </w:r>
      <w:r>
        <w:rPr>
          <w:rFonts w:hint="default" w:ascii="Times New Roman" w:hAnsi="Times New Roman" w:eastAsia="方正仿宋_GBK" w:cs="Times New Roman"/>
          <w:b w:val="0"/>
          <w:bCs w:val="0"/>
          <w:color w:val="auto"/>
          <w:sz w:val="32"/>
          <w:szCs w:val="32"/>
          <w:highlight w:val="none"/>
        </w:rPr>
        <w:t>目前宿迁港正在经营的码头19个，泊位110个（千吨级以上68个），综合通过能力约4200万吨。</w:t>
      </w:r>
      <w:r>
        <w:rPr>
          <w:rFonts w:hint="default" w:ascii="Times New Roman" w:hAnsi="Times New Roman" w:eastAsia="方正仿宋_GBK" w:cs="Times New Roman"/>
          <w:b w:val="0"/>
          <w:bCs w:val="0"/>
          <w:sz w:val="32"/>
          <w:szCs w:val="32"/>
        </w:rPr>
        <w:t>全市码头主要分布在京杭运河上，中心港区码头占全市码头数量约一半，京杭运河沿线码头集聚效</w:t>
      </w:r>
      <w:r>
        <w:rPr>
          <w:rFonts w:hint="default" w:ascii="Times New Roman" w:hAnsi="Times New Roman" w:eastAsia="方正仿宋_GBK" w:cs="Times New Roman"/>
          <w:b w:val="0"/>
          <w:bCs w:val="0"/>
          <w:sz w:val="32"/>
          <w:szCs w:val="32"/>
          <w:lang w:eastAsia="zh-CN"/>
        </w:rPr>
        <w:t>应</w:t>
      </w:r>
      <w:r>
        <w:rPr>
          <w:rFonts w:hint="default" w:ascii="Times New Roman" w:hAnsi="Times New Roman" w:eastAsia="方正仿宋_GBK" w:cs="Times New Roman"/>
          <w:b w:val="0"/>
          <w:bCs w:val="0"/>
          <w:sz w:val="32"/>
          <w:szCs w:val="32"/>
        </w:rPr>
        <w:t>明显。</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topLinePunct/>
        <w:jc w:val="center"/>
        <w:rPr>
          <w:rFonts w:hint="default" w:ascii="Times New Roman" w:hAnsi="Times New Roman" w:eastAsia="方正黑体_GBK" w:cs="Times New Roman"/>
          <w:b w:val="0"/>
          <w:bCs w:val="0"/>
          <w:sz w:val="24"/>
          <w:szCs w:val="24"/>
        </w:rPr>
      </w:pPr>
      <w:r>
        <w:rPr>
          <w:rFonts w:hint="default" w:ascii="Times New Roman" w:hAnsi="Times New Roman" w:eastAsia="方正黑体_GBK" w:cs="Times New Roman"/>
          <w:b w:val="0"/>
          <w:bCs w:val="0"/>
          <w:sz w:val="24"/>
          <w:szCs w:val="24"/>
        </w:rPr>
        <w:t>表1-1  分港区岸线利用情况表</w:t>
      </w:r>
    </w:p>
    <w:tbl>
      <w:tblPr>
        <w:tblStyle w:val="36"/>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28" w:type="dxa"/>
          <w:bottom w:w="0" w:type="dxa"/>
          <w:right w:w="28" w:type="dxa"/>
        </w:tblCellMar>
      </w:tblPr>
      <w:tblGrid>
        <w:gridCol w:w="1482"/>
        <w:gridCol w:w="1482"/>
        <w:gridCol w:w="1485"/>
        <w:gridCol w:w="1483"/>
        <w:gridCol w:w="1485"/>
        <w:gridCol w:w="14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588" w:hRule="atLeast"/>
          <w:jc w:val="center"/>
        </w:trPr>
        <w:tc>
          <w:tcPr>
            <w:tcW w:w="833" w:type="pct"/>
            <w:vAlign w:val="center"/>
          </w:tcPr>
          <w:p>
            <w:pPr>
              <w:topLinePunct/>
              <w:spacing w:line="240" w:lineRule="exact"/>
              <w:jc w:val="center"/>
              <w:rPr>
                <w:rFonts w:hint="default" w:ascii="Times New Roman" w:hAnsi="Times New Roman" w:eastAsia="方正黑体_GBK" w:cs="Times New Roman"/>
                <w:b w:val="0"/>
                <w:bCs w:val="0"/>
                <w:snapToGrid w:val="0"/>
                <w:color w:val="000000"/>
                <w:szCs w:val="21"/>
                <w:lang w:eastAsia="en-US"/>
                <w14:ligatures w14:val="none"/>
              </w:rPr>
            </w:pPr>
            <w:r>
              <w:rPr>
                <w:rFonts w:hint="default" w:ascii="Times New Roman" w:hAnsi="Times New Roman" w:eastAsia="方正黑体_GBK" w:cs="Times New Roman"/>
                <w:b w:val="0"/>
                <w:bCs w:val="0"/>
                <w:snapToGrid/>
                <w:color w:val="000000"/>
                <w:szCs w:val="21"/>
                <w:lang w:eastAsia="en-US"/>
                <w14:ligatures w14:val="none"/>
              </w:rPr>
              <w:t>划分港区</w:t>
            </w:r>
          </w:p>
        </w:tc>
        <w:tc>
          <w:tcPr>
            <w:tcW w:w="833" w:type="pct"/>
            <w:vAlign w:val="center"/>
          </w:tcPr>
          <w:p>
            <w:pPr>
              <w:topLinePunct/>
              <w:spacing w:line="240" w:lineRule="exact"/>
              <w:jc w:val="center"/>
              <w:rPr>
                <w:rFonts w:hint="default" w:ascii="Times New Roman" w:hAnsi="Times New Roman" w:eastAsia="方正黑体_GBK" w:cs="Times New Roman"/>
                <w:b w:val="0"/>
                <w:bCs w:val="0"/>
                <w:snapToGrid w:val="0"/>
                <w:color w:val="000000"/>
                <w:szCs w:val="21"/>
                <w:lang w:eastAsia="en-US"/>
                <w14:ligatures w14:val="none"/>
              </w:rPr>
            </w:pPr>
            <w:r>
              <w:rPr>
                <w:rFonts w:hint="default" w:ascii="Times New Roman" w:hAnsi="Times New Roman" w:eastAsia="方正黑体_GBK" w:cs="Times New Roman"/>
                <w:b w:val="0"/>
                <w:bCs w:val="0"/>
                <w:snapToGrid/>
                <w:color w:val="000000"/>
                <w:szCs w:val="21"/>
                <w:lang w:eastAsia="en-US"/>
                <w14:ligatures w14:val="none"/>
              </w:rPr>
              <w:t>已利用岸线</w:t>
            </w:r>
          </w:p>
          <w:p>
            <w:pPr>
              <w:topLinePunct/>
              <w:spacing w:line="240" w:lineRule="exact"/>
              <w:jc w:val="center"/>
              <w:rPr>
                <w:rFonts w:hint="default" w:ascii="Times New Roman" w:hAnsi="Times New Roman" w:eastAsia="方正黑体_GBK" w:cs="Times New Roman"/>
                <w:b w:val="0"/>
                <w:bCs w:val="0"/>
                <w:snapToGrid w:val="0"/>
                <w:color w:val="000000"/>
                <w:szCs w:val="21"/>
                <w:lang w:eastAsia="en-US"/>
                <w14:ligatures w14:val="none"/>
              </w:rPr>
            </w:pPr>
            <w:r>
              <w:rPr>
                <w:rFonts w:hint="default" w:ascii="Times New Roman" w:hAnsi="Times New Roman" w:eastAsia="方正黑体_GBK" w:cs="Times New Roman"/>
                <w:b w:val="0"/>
                <w:bCs w:val="0"/>
                <w:snapToGrid/>
                <w:color w:val="000000"/>
                <w:szCs w:val="21"/>
                <w:lang w:eastAsia="en-US"/>
                <w14:ligatures w14:val="none"/>
              </w:rPr>
              <w:t>（米）</w:t>
            </w:r>
          </w:p>
        </w:tc>
        <w:tc>
          <w:tcPr>
            <w:tcW w:w="834" w:type="pct"/>
            <w:vAlign w:val="center"/>
          </w:tcPr>
          <w:p>
            <w:pPr>
              <w:topLinePunct/>
              <w:spacing w:line="240" w:lineRule="exact"/>
              <w:jc w:val="center"/>
              <w:rPr>
                <w:rFonts w:hint="default" w:ascii="Times New Roman" w:hAnsi="Times New Roman" w:eastAsia="方正黑体_GBK" w:cs="Times New Roman"/>
                <w:b w:val="0"/>
                <w:bCs w:val="0"/>
                <w:snapToGrid w:val="0"/>
                <w:color w:val="000000"/>
                <w:szCs w:val="21"/>
                <w:lang w:eastAsia="en-US"/>
                <w14:ligatures w14:val="none"/>
              </w:rPr>
            </w:pPr>
            <w:r>
              <w:rPr>
                <w:rFonts w:hint="default" w:ascii="Times New Roman" w:hAnsi="Times New Roman" w:eastAsia="方正黑体_GBK" w:cs="Times New Roman"/>
                <w:b w:val="0"/>
                <w:bCs w:val="0"/>
                <w:snapToGrid/>
                <w:color w:val="000000"/>
                <w:szCs w:val="21"/>
                <w:lang w:eastAsia="en-US"/>
                <w14:ligatures w14:val="none"/>
              </w:rPr>
              <w:t>岸线利用率</w:t>
            </w:r>
          </w:p>
        </w:tc>
        <w:tc>
          <w:tcPr>
            <w:tcW w:w="833" w:type="pct"/>
            <w:vAlign w:val="center"/>
          </w:tcPr>
          <w:p>
            <w:pPr>
              <w:topLinePunct/>
              <w:spacing w:line="240" w:lineRule="exact"/>
              <w:jc w:val="center"/>
              <w:rPr>
                <w:rFonts w:hint="default" w:ascii="Times New Roman" w:hAnsi="Times New Roman" w:eastAsia="方正黑体_GBK" w:cs="Times New Roman"/>
                <w:b w:val="0"/>
                <w:bCs w:val="0"/>
                <w:snapToGrid w:val="0"/>
                <w:color w:val="000000"/>
                <w:kern w:val="0"/>
                <w:szCs w:val="21"/>
                <w:lang w:eastAsia="en-US"/>
                <w14:ligatures w14:val="none"/>
              </w:rPr>
            </w:pPr>
            <w:r>
              <w:rPr>
                <w:rFonts w:hint="default" w:ascii="Times New Roman" w:hAnsi="Times New Roman" w:eastAsia="方正黑体_GBK" w:cs="Times New Roman"/>
                <w:b w:val="0"/>
                <w:bCs w:val="0"/>
                <w:snapToGrid/>
                <w:color w:val="000000"/>
                <w:szCs w:val="21"/>
                <w:lang w:eastAsia="en-US"/>
                <w14:ligatures w14:val="none"/>
              </w:rPr>
              <w:t>码头单位（个）</w:t>
            </w:r>
          </w:p>
        </w:tc>
        <w:tc>
          <w:tcPr>
            <w:tcW w:w="834" w:type="pct"/>
            <w:vAlign w:val="center"/>
          </w:tcPr>
          <w:p>
            <w:pPr>
              <w:topLinePunct/>
              <w:spacing w:line="240" w:lineRule="exact"/>
              <w:jc w:val="center"/>
              <w:rPr>
                <w:rFonts w:hint="default" w:ascii="Times New Roman" w:hAnsi="Times New Roman" w:eastAsia="方正黑体_GBK" w:cs="Times New Roman"/>
                <w:b w:val="0"/>
                <w:bCs w:val="0"/>
                <w:snapToGrid w:val="0"/>
                <w:color w:val="000000"/>
                <w:szCs w:val="21"/>
                <w:lang w:eastAsia="en-US"/>
                <w14:ligatures w14:val="none"/>
              </w:rPr>
            </w:pPr>
            <w:r>
              <w:rPr>
                <w:rFonts w:hint="default" w:ascii="Times New Roman" w:hAnsi="Times New Roman" w:eastAsia="方正黑体_GBK" w:cs="Times New Roman"/>
                <w:b w:val="0"/>
                <w:bCs w:val="0"/>
                <w:snapToGrid/>
                <w:color w:val="000000"/>
                <w:szCs w:val="21"/>
                <w:lang w:eastAsia="en-US"/>
                <w14:ligatures w14:val="none"/>
              </w:rPr>
              <w:t>泊位数</w:t>
            </w:r>
          </w:p>
          <w:p>
            <w:pPr>
              <w:topLinePunct/>
              <w:spacing w:line="240" w:lineRule="exact"/>
              <w:jc w:val="center"/>
              <w:rPr>
                <w:rFonts w:hint="default" w:ascii="Times New Roman" w:hAnsi="Times New Roman" w:eastAsia="方正黑体_GBK" w:cs="Times New Roman"/>
                <w:b w:val="0"/>
                <w:bCs w:val="0"/>
                <w:snapToGrid w:val="0"/>
                <w:color w:val="000000"/>
                <w:kern w:val="0"/>
                <w:szCs w:val="21"/>
                <w:lang w:eastAsia="en-US"/>
                <w14:ligatures w14:val="none"/>
              </w:rPr>
            </w:pPr>
            <w:r>
              <w:rPr>
                <w:rFonts w:hint="default" w:ascii="Times New Roman" w:hAnsi="Times New Roman" w:eastAsia="方正黑体_GBK" w:cs="Times New Roman"/>
                <w:b w:val="0"/>
                <w:bCs w:val="0"/>
                <w:snapToGrid/>
                <w:color w:val="000000"/>
                <w:szCs w:val="21"/>
                <w:lang w:eastAsia="en-US"/>
                <w14:ligatures w14:val="none"/>
              </w:rPr>
              <w:t>（个）</w:t>
            </w:r>
          </w:p>
        </w:tc>
        <w:tc>
          <w:tcPr>
            <w:tcW w:w="834" w:type="pct"/>
            <w:vAlign w:val="center"/>
          </w:tcPr>
          <w:p>
            <w:pPr>
              <w:topLinePunct/>
              <w:spacing w:line="240" w:lineRule="exact"/>
              <w:jc w:val="center"/>
              <w:rPr>
                <w:rFonts w:hint="default" w:ascii="Times New Roman" w:hAnsi="Times New Roman" w:eastAsia="方正黑体_GBK" w:cs="Times New Roman"/>
                <w:b w:val="0"/>
                <w:bCs w:val="0"/>
                <w:snapToGrid w:val="0"/>
                <w:color w:val="000000"/>
                <w:kern w:val="0"/>
                <w:szCs w:val="21"/>
                <w:lang w:eastAsia="en-US"/>
                <w14:ligatures w14:val="none"/>
              </w:rPr>
            </w:pPr>
            <w:r>
              <w:rPr>
                <w:rFonts w:hint="default" w:ascii="Times New Roman" w:hAnsi="Times New Roman" w:eastAsia="方正黑体_GBK" w:cs="Times New Roman"/>
                <w:b w:val="0"/>
                <w:bCs w:val="0"/>
                <w:snapToGrid/>
                <w:color w:val="000000"/>
                <w:szCs w:val="21"/>
                <w:lang w:eastAsia="en-US"/>
                <w14:ligatures w14:val="none"/>
              </w:rPr>
              <w:t>综合通过能力占比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454" w:hRule="atLeast"/>
          <w:jc w:val="center"/>
        </w:trPr>
        <w:tc>
          <w:tcPr>
            <w:tcW w:w="1385"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中心港区</w:t>
            </w:r>
          </w:p>
        </w:tc>
        <w:tc>
          <w:tcPr>
            <w:tcW w:w="1385"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7064</w:t>
            </w:r>
          </w:p>
        </w:tc>
        <w:tc>
          <w:tcPr>
            <w:tcW w:w="1386"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45.6%</w:t>
            </w:r>
          </w:p>
        </w:tc>
        <w:tc>
          <w:tcPr>
            <w:tcW w:w="1385"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11</w:t>
            </w:r>
          </w:p>
        </w:tc>
        <w:tc>
          <w:tcPr>
            <w:tcW w:w="1386"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51</w:t>
            </w:r>
          </w:p>
        </w:tc>
        <w:tc>
          <w:tcPr>
            <w:tcW w:w="1385"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53%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454" w:hRule="atLeast"/>
          <w:jc w:val="center"/>
        </w:trPr>
        <w:tc>
          <w:tcPr>
            <w:tcW w:w="1385"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沭阳港区</w:t>
            </w:r>
          </w:p>
        </w:tc>
        <w:tc>
          <w:tcPr>
            <w:tcW w:w="1385"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2616</w:t>
            </w:r>
          </w:p>
        </w:tc>
        <w:tc>
          <w:tcPr>
            <w:tcW w:w="1386"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23.3%</w:t>
            </w:r>
          </w:p>
        </w:tc>
        <w:tc>
          <w:tcPr>
            <w:tcW w:w="1385"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4</w:t>
            </w:r>
          </w:p>
        </w:tc>
        <w:tc>
          <w:tcPr>
            <w:tcW w:w="1386"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26</w:t>
            </w:r>
          </w:p>
        </w:tc>
        <w:tc>
          <w:tcPr>
            <w:tcW w:w="1385"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454" w:hRule="atLeast"/>
          <w:jc w:val="center"/>
        </w:trPr>
        <w:tc>
          <w:tcPr>
            <w:tcW w:w="1385"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泗阳港区</w:t>
            </w:r>
          </w:p>
        </w:tc>
        <w:tc>
          <w:tcPr>
            <w:tcW w:w="1385"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2561</w:t>
            </w:r>
          </w:p>
        </w:tc>
        <w:tc>
          <w:tcPr>
            <w:tcW w:w="1386"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36.1%</w:t>
            </w:r>
          </w:p>
        </w:tc>
        <w:tc>
          <w:tcPr>
            <w:tcW w:w="1385"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3</w:t>
            </w:r>
          </w:p>
        </w:tc>
        <w:tc>
          <w:tcPr>
            <w:tcW w:w="1386"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23</w:t>
            </w:r>
          </w:p>
        </w:tc>
        <w:tc>
          <w:tcPr>
            <w:tcW w:w="1385"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454" w:hRule="atLeast"/>
          <w:jc w:val="center"/>
        </w:trPr>
        <w:tc>
          <w:tcPr>
            <w:tcW w:w="1385"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泗洪港区</w:t>
            </w:r>
          </w:p>
        </w:tc>
        <w:tc>
          <w:tcPr>
            <w:tcW w:w="1385"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1239</w:t>
            </w:r>
          </w:p>
        </w:tc>
        <w:tc>
          <w:tcPr>
            <w:tcW w:w="1386"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28.2%</w:t>
            </w:r>
          </w:p>
        </w:tc>
        <w:tc>
          <w:tcPr>
            <w:tcW w:w="1385"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1</w:t>
            </w:r>
          </w:p>
        </w:tc>
        <w:tc>
          <w:tcPr>
            <w:tcW w:w="1386"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10</w:t>
            </w:r>
          </w:p>
        </w:tc>
        <w:tc>
          <w:tcPr>
            <w:tcW w:w="1385"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28" w:type="dxa"/>
            <w:bottom w:w="0" w:type="dxa"/>
            <w:right w:w="28" w:type="dxa"/>
          </w:tblCellMar>
        </w:tblPrEx>
        <w:trPr>
          <w:trHeight w:val="454" w:hRule="atLeast"/>
          <w:jc w:val="center"/>
        </w:trPr>
        <w:tc>
          <w:tcPr>
            <w:tcW w:w="1385"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合计</w:t>
            </w:r>
          </w:p>
        </w:tc>
        <w:tc>
          <w:tcPr>
            <w:tcW w:w="1385"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13480</w:t>
            </w:r>
          </w:p>
        </w:tc>
        <w:tc>
          <w:tcPr>
            <w:tcW w:w="1386" w:type="dxa"/>
            <w:vAlign w:val="center"/>
          </w:tcPr>
          <w:p>
            <w:pPr>
              <w:topLinePunct/>
              <w:jc w:val="center"/>
              <w:rPr>
                <w:rFonts w:hint="default" w:ascii="Times New Roman" w:hAnsi="Times New Roman" w:eastAsia="方正仿宋_GBK" w:cs="Times New Roman"/>
                <w:b w:val="0"/>
                <w:bCs w:val="0"/>
                <w:snapToGrid w:val="0"/>
                <w:color w:val="auto"/>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35.3%</w:t>
            </w:r>
          </w:p>
        </w:tc>
        <w:tc>
          <w:tcPr>
            <w:tcW w:w="1385"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19</w:t>
            </w:r>
          </w:p>
        </w:tc>
        <w:tc>
          <w:tcPr>
            <w:tcW w:w="1386"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110</w:t>
            </w:r>
          </w:p>
        </w:tc>
        <w:tc>
          <w:tcPr>
            <w:tcW w:w="1385" w:type="dxa"/>
            <w:vAlign w:val="center"/>
          </w:tcPr>
          <w:p>
            <w:pPr>
              <w:topLinePunct/>
              <w:jc w:val="center"/>
              <w:rPr>
                <w:rFonts w:hint="default" w:ascii="Times New Roman" w:hAnsi="Times New Roman" w:eastAsia="方正仿宋_GBK" w:cs="Times New Roman"/>
                <w:b w:val="0"/>
                <w:bCs w:val="0"/>
                <w:snapToGrid w:val="0"/>
                <w:color w:val="auto"/>
                <w:kern w:val="0"/>
                <w:szCs w:val="21"/>
                <w:highlight w:val="none"/>
                <w:lang w:eastAsia="en-US"/>
                <w14:ligatures w14:val="none"/>
              </w:rPr>
            </w:pPr>
            <w:r>
              <w:rPr>
                <w:rFonts w:hint="default" w:ascii="Times New Roman" w:hAnsi="Times New Roman" w:eastAsia="方正仿宋_GBK" w:cs="Times New Roman"/>
                <w:b w:val="0"/>
                <w:bCs w:val="0"/>
                <w:snapToGrid/>
                <w:color w:val="auto"/>
                <w:szCs w:val="21"/>
                <w:highlight w:val="none"/>
                <w:lang w:eastAsia="en-US"/>
              </w:rPr>
              <w:t>100%</w:t>
            </w:r>
          </w:p>
        </w:tc>
      </w:tr>
    </w:tbl>
    <w:p>
      <w:pPr>
        <w:keepNext w:val="0"/>
        <w:keepLines w:val="0"/>
        <w:pageBreakBefore w:val="0"/>
        <w:widowControl w:val="0"/>
        <w:kinsoku/>
        <w:wordWrap/>
        <w:overflowPunct/>
        <w:topLinePunct/>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b w:val="0"/>
          <w:bCs w:val="0"/>
          <w:sz w:val="32"/>
          <w:szCs w:val="32"/>
        </w:rPr>
      </w:pPr>
      <w:bookmarkStart w:id="33" w:name="_Toc147579014"/>
      <w:bookmarkStart w:id="34" w:name="_Toc149638736"/>
      <w:bookmarkStart w:id="35" w:name="_Toc150419760"/>
      <w:bookmarkStart w:id="36" w:name="_Toc156429249"/>
      <w:bookmarkStart w:id="37" w:name="_Toc148968209"/>
      <w:bookmarkStart w:id="38" w:name="_Toc150428993"/>
      <w:bookmarkStart w:id="39" w:name="_Toc156925272"/>
      <w:bookmarkStart w:id="40" w:name="_Toc159339942"/>
      <w:bookmarkStart w:id="41" w:name="_Toc149432803"/>
      <w:bookmarkStart w:id="42" w:name="_Toc157594496"/>
      <w:bookmarkStart w:id="43" w:name="_Toc148367423"/>
      <w:bookmarkStart w:id="44" w:name="_Toc152347401"/>
      <w:bookmarkStart w:id="45" w:name="_Toc156429385"/>
      <w:bookmarkStart w:id="46" w:name="_Toc148627520"/>
      <w:bookmarkStart w:id="47" w:name="_Toc156482268"/>
      <w:bookmarkStart w:id="48" w:name="_Toc156429051"/>
      <w:r>
        <w:rPr>
          <w:rFonts w:hint="default" w:ascii="Times New Roman" w:hAnsi="Times New Roman" w:eastAsia="方正楷体_GBK" w:cs="Times New Roman"/>
          <w:b w:val="0"/>
          <w:bCs w:val="0"/>
          <w:sz w:val="32"/>
          <w:szCs w:val="32"/>
        </w:rPr>
        <w:t>3.</w:t>
      </w:r>
      <w:bookmarkEnd w:id="33"/>
      <w:r>
        <w:rPr>
          <w:rFonts w:hint="default" w:ascii="Times New Roman" w:hAnsi="Times New Roman" w:eastAsia="方正楷体_GBK" w:cs="Times New Roman"/>
          <w:b w:val="0"/>
          <w:bCs w:val="0"/>
          <w:sz w:val="32"/>
          <w:szCs w:val="32"/>
        </w:rPr>
        <w:t xml:space="preserve"> </w:t>
      </w:r>
      <w:r>
        <w:rPr>
          <w:rFonts w:hint="default" w:ascii="Times New Roman" w:hAnsi="Times New Roman" w:eastAsia="方正楷体_GBK" w:cs="Times New Roman"/>
          <w:b w:val="0"/>
          <w:bCs w:val="0"/>
          <w:sz w:val="32"/>
          <w:szCs w:val="36"/>
        </w:rPr>
        <w:t>港口物流发展迅速，对外贸易稳步拓展。</w:t>
      </w:r>
      <w:r>
        <w:rPr>
          <w:rFonts w:hint="default" w:ascii="Times New Roman" w:hAnsi="Times New Roman" w:eastAsia="方正仿宋_GBK" w:cs="Times New Roman"/>
          <w:b w:val="0"/>
          <w:bCs w:val="0"/>
          <w:sz w:val="32"/>
          <w:szCs w:val="32"/>
        </w:rPr>
        <w:t>宿迁港货源以矿建材料、煤炭及制品、非金属矿石、集装箱为主，吞吐量较前几年有较大增长。从总量看，</w:t>
      </w:r>
      <w:r>
        <w:rPr>
          <w:rFonts w:hint="default" w:ascii="Times New Roman" w:hAnsi="Times New Roman" w:eastAsia="方正仿宋_GBK" w:cs="Times New Roman"/>
          <w:b w:val="0"/>
          <w:bCs w:val="0"/>
          <w:color w:val="auto"/>
          <w:sz w:val="32"/>
          <w:szCs w:val="32"/>
          <w:highlight w:val="none"/>
        </w:rPr>
        <w:t>2023年，宿迁港共完成货物吞吐量2850万吨，较2022年增长了</w:t>
      </w:r>
      <w:r>
        <w:rPr>
          <w:rFonts w:hint="default" w:ascii="Times New Roman" w:hAnsi="Times New Roman" w:eastAsia="方正仿宋_GBK" w:cs="Times New Roman"/>
          <w:b w:val="0"/>
          <w:bCs w:val="0"/>
          <w:color w:val="auto"/>
          <w:sz w:val="32"/>
          <w:highlight w:val="none"/>
        </w:rPr>
        <w:t>17%</w:t>
      </w:r>
      <w:r>
        <w:rPr>
          <w:rFonts w:hint="default" w:ascii="Times New Roman" w:hAnsi="Times New Roman" w:eastAsia="方正仿宋_GBK" w:cs="Times New Roman"/>
          <w:b w:val="0"/>
          <w:bCs w:val="0"/>
          <w:color w:val="auto"/>
          <w:sz w:val="32"/>
          <w:szCs w:val="32"/>
          <w:highlight w:val="none"/>
        </w:rPr>
        <w:t>。从货物种类看，2023年，宿迁港货源以矿建材料、煤炭及制品、矿石、集装箱为主，四大货种合计占总量的91%。近年来，宿迁港大力推进“散改集”业务，外贸集装箱吞吐量增长迅速。目前，宿迁港已开通至上海港、太仓港、南京港、连云港港等8条内外贸集装箱航线，每周航次达50个。2023年，全市港口完成集装箱吞吐量23.5万标箱，位居全省内河港口第3位。2023年，宿迁港中心港区三期正式投运，集装箱年吞吐能力可达30万标箱以上，仅上半年，完成集装箱吞吐量12.6万标箱、同比增长54.8%。</w:t>
      </w:r>
      <w:r>
        <w:rPr>
          <w:rFonts w:hint="default" w:ascii="Times New Roman" w:hAnsi="Times New Roman" w:eastAsia="方正仿宋_GBK" w:cs="Times New Roman"/>
          <w:b w:val="0"/>
          <w:bCs w:val="0"/>
          <w:sz w:val="32"/>
          <w:szCs w:val="32"/>
        </w:rPr>
        <w:t>宿迁港已成为宿迁市对外贸易的重要窗口，在宿迁市对外贸易发展中的作用地位突出，提高了全市对外开放水平。此外，宿迁港</w:t>
      </w:r>
      <w:r>
        <w:rPr>
          <w:rFonts w:hint="eastAsia" w:ascii="Times New Roman" w:hAnsi="Times New Roman" w:eastAsia="方正仿宋_GBK" w:cs="Times New Roman"/>
          <w:b w:val="0"/>
          <w:bCs w:val="0"/>
          <w:sz w:val="32"/>
          <w:szCs w:val="32"/>
          <w:lang w:eastAsia="zh-CN"/>
        </w:rPr>
        <w:t>口集团</w:t>
      </w:r>
      <w:r>
        <w:rPr>
          <w:rFonts w:hint="default" w:ascii="Times New Roman" w:hAnsi="Times New Roman" w:eastAsia="方正仿宋_GBK" w:cs="Times New Roman"/>
          <w:b w:val="0"/>
          <w:bCs w:val="0"/>
          <w:sz w:val="32"/>
          <w:szCs w:val="32"/>
        </w:rPr>
        <w:t>与省港</w:t>
      </w:r>
      <w:r>
        <w:rPr>
          <w:rFonts w:hint="eastAsia" w:ascii="Times New Roman" w:hAnsi="Times New Roman" w:eastAsia="方正仿宋_GBK" w:cs="Times New Roman"/>
          <w:b w:val="0"/>
          <w:bCs w:val="0"/>
          <w:sz w:val="32"/>
          <w:szCs w:val="32"/>
          <w:lang w:eastAsia="zh-CN"/>
        </w:rPr>
        <w:t>口</w:t>
      </w:r>
      <w:r>
        <w:rPr>
          <w:rFonts w:hint="default" w:ascii="Times New Roman" w:hAnsi="Times New Roman" w:eastAsia="方正仿宋_GBK" w:cs="Times New Roman"/>
          <w:b w:val="0"/>
          <w:bCs w:val="0"/>
          <w:sz w:val="32"/>
          <w:szCs w:val="32"/>
        </w:rPr>
        <w:t>集团、连云港港口集团等建立了战略合作关系，在集装箱运输、大宗干散货集散、航线开辟、人才交流等方面广泛开展合作，搭建起高效稳定的海河联运服务体系。</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topLinePunct/>
        <w:jc w:val="center"/>
        <w:rPr>
          <w:rFonts w:hint="default" w:ascii="Times New Roman" w:hAnsi="Times New Roman" w:eastAsia="方正黑体_GBK" w:cs="Times New Roman"/>
          <w:b w:val="0"/>
          <w:bCs w:val="0"/>
          <w:sz w:val="24"/>
          <w:szCs w:val="24"/>
          <w:highlight w:val="none"/>
        </w:rPr>
      </w:pPr>
      <w:bookmarkStart w:id="49" w:name="_Toc156482269"/>
      <w:bookmarkStart w:id="50" w:name="_Toc150419761"/>
      <w:bookmarkStart w:id="51" w:name="_Toc156429386"/>
      <w:bookmarkStart w:id="52" w:name="_Toc150428994"/>
      <w:bookmarkStart w:id="53" w:name="_Toc157594497"/>
      <w:bookmarkStart w:id="54" w:name="_Toc152347402"/>
      <w:bookmarkStart w:id="55" w:name="_Toc148367424"/>
      <w:bookmarkStart w:id="56" w:name="_Toc149432804"/>
      <w:bookmarkStart w:id="57" w:name="_Toc148627521"/>
      <w:bookmarkStart w:id="58" w:name="_Toc156429052"/>
      <w:bookmarkStart w:id="59" w:name="_Toc149638737"/>
      <w:bookmarkStart w:id="60" w:name="_Toc156925273"/>
      <w:bookmarkStart w:id="61" w:name="_Toc148968210"/>
      <w:bookmarkStart w:id="62" w:name="_Toc159339943"/>
      <w:bookmarkStart w:id="63" w:name="_Toc156429250"/>
      <w:r>
        <w:rPr>
          <w:rFonts w:hint="default" w:ascii="Times New Roman" w:hAnsi="Times New Roman" w:eastAsia="方正黑体_GBK" w:cs="Times New Roman"/>
          <w:b w:val="0"/>
          <w:bCs w:val="0"/>
          <w:sz w:val="24"/>
          <w:szCs w:val="24"/>
          <w:highlight w:val="none"/>
        </w:rPr>
        <w:t>表1-2  2023年宿迁港主要货种吞吐量</w:t>
      </w:r>
    </w:p>
    <w:tbl>
      <w:tblPr>
        <w:tblStyle w:val="26"/>
        <w:tblW w:w="7998" w:type="dxa"/>
        <w:jc w:val="center"/>
        <w:tblLayout w:type="autofit"/>
        <w:tblCellMar>
          <w:top w:w="0" w:type="dxa"/>
          <w:left w:w="23" w:type="dxa"/>
          <w:bottom w:w="0" w:type="dxa"/>
          <w:right w:w="23" w:type="dxa"/>
        </w:tblCellMar>
      </w:tblPr>
      <w:tblGrid>
        <w:gridCol w:w="2386"/>
        <w:gridCol w:w="1442"/>
        <w:gridCol w:w="1304"/>
        <w:gridCol w:w="1435"/>
        <w:gridCol w:w="1431"/>
      </w:tblGrid>
      <w:tr>
        <w:tblPrEx>
          <w:tblCellMar>
            <w:top w:w="0" w:type="dxa"/>
            <w:left w:w="23" w:type="dxa"/>
            <w:bottom w:w="0" w:type="dxa"/>
            <w:right w:w="23" w:type="dxa"/>
          </w:tblCellMar>
        </w:tblPrEx>
        <w:trPr>
          <w:trHeight w:val="658" w:hRule="atLeast"/>
          <w:tblHeader/>
          <w:jc w:val="center"/>
        </w:trPr>
        <w:tc>
          <w:tcPr>
            <w:tcW w:w="2386"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 w:val="20"/>
                <w:szCs w:val="20"/>
                <w:highlight w:val="none"/>
              </w:rPr>
            </w:pPr>
            <w:r>
              <w:rPr>
                <w:rFonts w:hint="default" w:ascii="Times New Roman" w:hAnsi="Times New Roman" w:eastAsia="方正黑体_GBK" w:cs="Times New Roman"/>
                <w:b w:val="0"/>
                <w:bCs w:val="0"/>
                <w:color w:val="auto"/>
                <w:szCs w:val="21"/>
                <w:highlight w:val="none"/>
                <w:lang w:eastAsia="en-US"/>
              </w:rPr>
              <w:t>货种</w:t>
            </w:r>
          </w:p>
        </w:tc>
        <w:tc>
          <w:tcPr>
            <w:tcW w:w="1442" w:type="dxa"/>
            <w:tcBorders>
              <w:top w:val="single" w:color="000000" w:sz="4" w:space="0"/>
              <w:left w:val="nil"/>
              <w:bottom w:val="single" w:color="000000" w:sz="4" w:space="0"/>
              <w:right w:val="single" w:color="000000" w:sz="4" w:space="0"/>
            </w:tcBorders>
            <w:shd w:val="clear" w:color="000000" w:fill="FFFFFF"/>
            <w:noWrap/>
            <w:vAlign w:val="center"/>
          </w:tcPr>
          <w:p>
            <w:pPr>
              <w:topLinePunct/>
              <w:jc w:val="center"/>
              <w:rPr>
                <w:rFonts w:hint="default" w:ascii="Times New Roman" w:hAnsi="Times New Roman" w:eastAsia="方正黑体_GBK" w:cs="Times New Roman"/>
                <w:b w:val="0"/>
                <w:bCs w:val="0"/>
                <w:color w:val="auto"/>
                <w:szCs w:val="21"/>
                <w:highlight w:val="none"/>
                <w:lang w:eastAsia="en-US"/>
              </w:rPr>
            </w:pPr>
            <w:r>
              <w:rPr>
                <w:rFonts w:hint="default" w:ascii="Times New Roman" w:hAnsi="Times New Roman" w:eastAsia="方正黑体_GBK" w:cs="Times New Roman"/>
                <w:b w:val="0"/>
                <w:bCs w:val="0"/>
                <w:color w:val="auto"/>
                <w:szCs w:val="21"/>
                <w:highlight w:val="none"/>
                <w:lang w:eastAsia="en-US"/>
              </w:rPr>
              <w:t>吞吐总量</w:t>
            </w:r>
          </w:p>
          <w:p>
            <w:pPr>
              <w:widowControl/>
              <w:jc w:val="center"/>
              <w:rPr>
                <w:rFonts w:hint="default" w:ascii="Times New Roman" w:hAnsi="Times New Roman" w:eastAsia="宋体" w:cs="Times New Roman"/>
                <w:b w:val="0"/>
                <w:bCs w:val="0"/>
                <w:color w:val="auto"/>
                <w:kern w:val="0"/>
                <w:sz w:val="20"/>
                <w:szCs w:val="20"/>
                <w:highlight w:val="none"/>
              </w:rPr>
            </w:pPr>
            <w:r>
              <w:rPr>
                <w:rFonts w:hint="default" w:ascii="Times New Roman" w:hAnsi="Times New Roman" w:eastAsia="方正黑体_GBK" w:cs="Times New Roman"/>
                <w:b w:val="0"/>
                <w:bCs w:val="0"/>
                <w:color w:val="auto"/>
                <w:szCs w:val="21"/>
                <w:highlight w:val="none"/>
                <w:lang w:eastAsia="en-US"/>
              </w:rPr>
              <w:t>（万吨）</w:t>
            </w:r>
          </w:p>
        </w:tc>
        <w:tc>
          <w:tcPr>
            <w:tcW w:w="1304" w:type="dxa"/>
            <w:tcBorders>
              <w:top w:val="single" w:color="000000" w:sz="4" w:space="0"/>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 w:val="20"/>
                <w:szCs w:val="20"/>
                <w:highlight w:val="none"/>
              </w:rPr>
            </w:pPr>
            <w:r>
              <w:rPr>
                <w:rFonts w:hint="default" w:ascii="Times New Roman" w:hAnsi="Times New Roman" w:eastAsia="方正黑体_GBK" w:cs="Times New Roman"/>
                <w:b w:val="0"/>
                <w:bCs w:val="0"/>
                <w:color w:val="auto"/>
                <w:szCs w:val="21"/>
                <w:highlight w:val="none"/>
                <w:lang w:eastAsia="en-US"/>
              </w:rPr>
              <w:t>占比</w:t>
            </w:r>
          </w:p>
        </w:tc>
        <w:tc>
          <w:tcPr>
            <w:tcW w:w="1435" w:type="dxa"/>
            <w:tcBorders>
              <w:top w:val="single" w:color="000000" w:sz="4" w:space="0"/>
              <w:left w:val="nil"/>
              <w:bottom w:val="single" w:color="000000" w:sz="4" w:space="0"/>
              <w:right w:val="nil"/>
            </w:tcBorders>
            <w:shd w:val="clear" w:color="000000" w:fill="FFFFFF"/>
            <w:noWrap/>
            <w:vAlign w:val="center"/>
          </w:tcPr>
          <w:p>
            <w:pPr>
              <w:topLinePunct/>
              <w:jc w:val="center"/>
              <w:rPr>
                <w:rFonts w:hint="default" w:ascii="Times New Roman" w:hAnsi="Times New Roman" w:eastAsia="方正黑体_GBK" w:cs="Times New Roman"/>
                <w:b w:val="0"/>
                <w:bCs w:val="0"/>
                <w:color w:val="auto"/>
                <w:szCs w:val="21"/>
                <w:highlight w:val="none"/>
                <w:lang w:eastAsia="en-US"/>
              </w:rPr>
            </w:pPr>
            <w:r>
              <w:rPr>
                <w:rFonts w:hint="default" w:ascii="Times New Roman" w:hAnsi="Times New Roman" w:eastAsia="方正黑体_GBK" w:cs="Times New Roman"/>
                <w:b w:val="0"/>
                <w:bCs w:val="0"/>
                <w:color w:val="auto"/>
                <w:szCs w:val="21"/>
                <w:highlight w:val="none"/>
                <w:lang w:eastAsia="en-US"/>
              </w:rPr>
              <w:t>其中：出港</w:t>
            </w:r>
          </w:p>
          <w:p>
            <w:pPr>
              <w:widowControl/>
              <w:jc w:val="center"/>
              <w:rPr>
                <w:rFonts w:hint="default" w:ascii="Times New Roman" w:hAnsi="Times New Roman" w:eastAsia="宋体" w:cs="Times New Roman"/>
                <w:b w:val="0"/>
                <w:bCs w:val="0"/>
                <w:color w:val="auto"/>
                <w:kern w:val="0"/>
                <w:sz w:val="20"/>
                <w:szCs w:val="20"/>
                <w:highlight w:val="none"/>
              </w:rPr>
            </w:pPr>
            <w:r>
              <w:rPr>
                <w:rFonts w:hint="default" w:ascii="Times New Roman" w:hAnsi="Times New Roman" w:eastAsia="方正黑体_GBK" w:cs="Times New Roman"/>
                <w:b w:val="0"/>
                <w:bCs w:val="0"/>
                <w:color w:val="auto"/>
                <w:szCs w:val="21"/>
                <w:highlight w:val="none"/>
                <w:lang w:eastAsia="en-US"/>
              </w:rPr>
              <w:t>（万吨）</w:t>
            </w:r>
          </w:p>
        </w:tc>
        <w:tc>
          <w:tcPr>
            <w:tcW w:w="1431"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topLinePunct/>
              <w:jc w:val="center"/>
              <w:rPr>
                <w:rFonts w:hint="default" w:ascii="Times New Roman" w:hAnsi="Times New Roman" w:eastAsia="方正黑体_GBK" w:cs="Times New Roman"/>
                <w:b w:val="0"/>
                <w:bCs w:val="0"/>
                <w:color w:val="auto"/>
                <w:szCs w:val="21"/>
                <w:highlight w:val="none"/>
                <w:lang w:eastAsia="en-US"/>
              </w:rPr>
            </w:pPr>
            <w:r>
              <w:rPr>
                <w:rFonts w:hint="default" w:ascii="Times New Roman" w:hAnsi="Times New Roman" w:eastAsia="方正黑体_GBK" w:cs="Times New Roman"/>
                <w:b w:val="0"/>
                <w:bCs w:val="0"/>
                <w:color w:val="auto"/>
                <w:szCs w:val="21"/>
                <w:highlight w:val="none"/>
                <w:lang w:eastAsia="en-US"/>
              </w:rPr>
              <w:t>其中：进港</w:t>
            </w:r>
          </w:p>
          <w:p>
            <w:pPr>
              <w:widowControl/>
              <w:jc w:val="center"/>
              <w:rPr>
                <w:rFonts w:hint="default" w:ascii="Times New Roman" w:hAnsi="Times New Roman" w:eastAsia="宋体" w:cs="Times New Roman"/>
                <w:b w:val="0"/>
                <w:bCs w:val="0"/>
                <w:color w:val="auto"/>
                <w:kern w:val="0"/>
                <w:sz w:val="20"/>
                <w:szCs w:val="20"/>
                <w:highlight w:val="none"/>
              </w:rPr>
            </w:pPr>
            <w:r>
              <w:rPr>
                <w:rFonts w:hint="default" w:ascii="Times New Roman" w:hAnsi="Times New Roman" w:eastAsia="方正黑体_GBK" w:cs="Times New Roman"/>
                <w:b w:val="0"/>
                <w:bCs w:val="0"/>
                <w:color w:val="auto"/>
                <w:szCs w:val="21"/>
                <w:highlight w:val="none"/>
                <w:lang w:eastAsia="en-US"/>
              </w:rPr>
              <w:t>（万吨）</w:t>
            </w:r>
          </w:p>
        </w:tc>
      </w:tr>
      <w:tr>
        <w:tblPrEx>
          <w:tblCellMar>
            <w:top w:w="0" w:type="dxa"/>
            <w:left w:w="23" w:type="dxa"/>
            <w:bottom w:w="0" w:type="dxa"/>
            <w:right w:w="23" w:type="dxa"/>
          </w:tblCellMar>
        </w:tblPrEx>
        <w:trPr>
          <w:trHeight w:val="334" w:hRule="atLeast"/>
          <w:jc w:val="center"/>
        </w:trPr>
        <w:tc>
          <w:tcPr>
            <w:tcW w:w="238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方正仿宋_GBK" w:cs="Times New Roman"/>
                <w:b w:val="0"/>
                <w:bCs w:val="0"/>
                <w:color w:val="auto"/>
                <w:szCs w:val="21"/>
                <w:highlight w:val="none"/>
                <w:lang w:eastAsia="en-US"/>
              </w:rPr>
            </w:pPr>
            <w:r>
              <w:rPr>
                <w:rFonts w:hint="default" w:ascii="Times New Roman" w:hAnsi="Times New Roman" w:eastAsia="方正仿宋_GBK" w:cs="Times New Roman"/>
                <w:b w:val="0"/>
                <w:bCs w:val="0"/>
                <w:color w:val="auto"/>
                <w:szCs w:val="21"/>
                <w:highlight w:val="none"/>
                <w:lang w:eastAsia="en-US"/>
              </w:rPr>
              <w:t>矿建材料</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1452</w:t>
            </w:r>
          </w:p>
        </w:tc>
        <w:tc>
          <w:tcPr>
            <w:tcW w:w="1304"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51.0%</w:t>
            </w:r>
          </w:p>
        </w:tc>
        <w:tc>
          <w:tcPr>
            <w:tcW w:w="1435"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47</w:t>
            </w:r>
          </w:p>
        </w:tc>
        <w:tc>
          <w:tcPr>
            <w:tcW w:w="1431"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1405</w:t>
            </w:r>
          </w:p>
        </w:tc>
      </w:tr>
      <w:tr>
        <w:tblPrEx>
          <w:tblCellMar>
            <w:top w:w="0" w:type="dxa"/>
            <w:left w:w="23" w:type="dxa"/>
            <w:bottom w:w="0" w:type="dxa"/>
            <w:right w:w="23" w:type="dxa"/>
          </w:tblCellMar>
        </w:tblPrEx>
        <w:trPr>
          <w:trHeight w:val="334" w:hRule="atLeast"/>
          <w:jc w:val="center"/>
        </w:trPr>
        <w:tc>
          <w:tcPr>
            <w:tcW w:w="238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方正仿宋_GBK" w:cs="Times New Roman"/>
                <w:b w:val="0"/>
                <w:bCs w:val="0"/>
                <w:color w:val="auto"/>
                <w:szCs w:val="21"/>
                <w:highlight w:val="none"/>
                <w:lang w:eastAsia="en-US"/>
              </w:rPr>
            </w:pPr>
            <w:r>
              <w:rPr>
                <w:rFonts w:hint="default" w:ascii="Times New Roman" w:hAnsi="Times New Roman" w:eastAsia="方正仿宋_GBK" w:cs="Times New Roman"/>
                <w:b w:val="0"/>
                <w:bCs w:val="0"/>
                <w:color w:val="auto"/>
                <w:szCs w:val="21"/>
                <w:highlight w:val="none"/>
                <w:lang w:eastAsia="en-US"/>
              </w:rPr>
              <w:t>煤炭及制品</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450</w:t>
            </w:r>
          </w:p>
        </w:tc>
        <w:tc>
          <w:tcPr>
            <w:tcW w:w="1304"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15.8%</w:t>
            </w:r>
          </w:p>
        </w:tc>
        <w:tc>
          <w:tcPr>
            <w:tcW w:w="1435"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w:t>
            </w:r>
          </w:p>
        </w:tc>
        <w:tc>
          <w:tcPr>
            <w:tcW w:w="1431"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449</w:t>
            </w:r>
          </w:p>
        </w:tc>
      </w:tr>
      <w:tr>
        <w:tblPrEx>
          <w:tblCellMar>
            <w:top w:w="0" w:type="dxa"/>
            <w:left w:w="23" w:type="dxa"/>
            <w:bottom w:w="0" w:type="dxa"/>
            <w:right w:w="23" w:type="dxa"/>
          </w:tblCellMar>
        </w:tblPrEx>
        <w:trPr>
          <w:trHeight w:val="334" w:hRule="atLeast"/>
          <w:jc w:val="center"/>
        </w:trPr>
        <w:tc>
          <w:tcPr>
            <w:tcW w:w="238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方正仿宋_GBK" w:cs="Times New Roman"/>
                <w:b w:val="0"/>
                <w:bCs w:val="0"/>
                <w:color w:val="auto"/>
                <w:szCs w:val="21"/>
                <w:highlight w:val="none"/>
              </w:rPr>
            </w:pPr>
            <w:r>
              <w:rPr>
                <w:rFonts w:hint="default" w:ascii="Times New Roman" w:hAnsi="Times New Roman" w:eastAsia="方正仿宋_GBK" w:cs="Times New Roman"/>
                <w:b w:val="0"/>
                <w:bCs w:val="0"/>
                <w:color w:val="auto"/>
                <w:szCs w:val="21"/>
                <w:highlight w:val="none"/>
                <w:lang w:eastAsia="en-US"/>
              </w:rPr>
              <w:t>集装箱</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400</w:t>
            </w:r>
          </w:p>
        </w:tc>
        <w:tc>
          <w:tcPr>
            <w:tcW w:w="1304"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14.0%</w:t>
            </w:r>
          </w:p>
        </w:tc>
        <w:tc>
          <w:tcPr>
            <w:tcW w:w="1435"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217</w:t>
            </w:r>
          </w:p>
        </w:tc>
        <w:tc>
          <w:tcPr>
            <w:tcW w:w="1431"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183</w:t>
            </w:r>
          </w:p>
        </w:tc>
      </w:tr>
      <w:tr>
        <w:tblPrEx>
          <w:tblCellMar>
            <w:top w:w="0" w:type="dxa"/>
            <w:left w:w="23" w:type="dxa"/>
            <w:bottom w:w="0" w:type="dxa"/>
            <w:right w:w="23" w:type="dxa"/>
          </w:tblCellMar>
        </w:tblPrEx>
        <w:trPr>
          <w:trHeight w:val="334" w:hRule="atLeast"/>
          <w:jc w:val="center"/>
        </w:trPr>
        <w:tc>
          <w:tcPr>
            <w:tcW w:w="238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方正仿宋_GBK" w:cs="Times New Roman"/>
                <w:b w:val="0"/>
                <w:bCs w:val="0"/>
                <w:color w:val="auto"/>
                <w:szCs w:val="21"/>
                <w:highlight w:val="none"/>
                <w:lang w:eastAsia="en-US"/>
              </w:rPr>
            </w:pPr>
            <w:r>
              <w:rPr>
                <w:rFonts w:hint="default" w:ascii="Times New Roman" w:hAnsi="Times New Roman" w:eastAsia="方正仿宋_GBK" w:cs="Times New Roman"/>
                <w:b w:val="0"/>
                <w:bCs w:val="0"/>
                <w:color w:val="auto"/>
                <w:szCs w:val="21"/>
                <w:highlight w:val="none"/>
                <w:lang w:eastAsia="en-US"/>
              </w:rPr>
              <w:t>金属矿石</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144</w:t>
            </w:r>
          </w:p>
        </w:tc>
        <w:tc>
          <w:tcPr>
            <w:tcW w:w="1304"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5.0%</w:t>
            </w:r>
          </w:p>
        </w:tc>
        <w:tc>
          <w:tcPr>
            <w:tcW w:w="1435"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0</w:t>
            </w:r>
          </w:p>
        </w:tc>
        <w:tc>
          <w:tcPr>
            <w:tcW w:w="1431"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144</w:t>
            </w:r>
          </w:p>
        </w:tc>
      </w:tr>
      <w:tr>
        <w:tblPrEx>
          <w:tblCellMar>
            <w:top w:w="0" w:type="dxa"/>
            <w:left w:w="23" w:type="dxa"/>
            <w:bottom w:w="0" w:type="dxa"/>
            <w:right w:w="23" w:type="dxa"/>
          </w:tblCellMar>
        </w:tblPrEx>
        <w:trPr>
          <w:trHeight w:val="334" w:hRule="atLeast"/>
          <w:jc w:val="center"/>
        </w:trPr>
        <w:tc>
          <w:tcPr>
            <w:tcW w:w="238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方正仿宋_GBK" w:cs="Times New Roman"/>
                <w:b w:val="0"/>
                <w:bCs w:val="0"/>
                <w:color w:val="auto"/>
                <w:szCs w:val="21"/>
                <w:highlight w:val="none"/>
                <w:lang w:eastAsia="en-US"/>
              </w:rPr>
            </w:pPr>
            <w:r>
              <w:rPr>
                <w:rFonts w:hint="default" w:ascii="Times New Roman" w:hAnsi="Times New Roman" w:eastAsia="方正仿宋_GBK" w:cs="Times New Roman"/>
                <w:b w:val="0"/>
                <w:bCs w:val="0"/>
                <w:color w:val="auto"/>
                <w:szCs w:val="21"/>
                <w:highlight w:val="none"/>
                <w:lang w:eastAsia="en-US"/>
              </w:rPr>
              <w:t>非金属矿石</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104</w:t>
            </w:r>
          </w:p>
        </w:tc>
        <w:tc>
          <w:tcPr>
            <w:tcW w:w="1304"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3.7%</w:t>
            </w:r>
          </w:p>
        </w:tc>
        <w:tc>
          <w:tcPr>
            <w:tcW w:w="1435"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0</w:t>
            </w:r>
          </w:p>
        </w:tc>
        <w:tc>
          <w:tcPr>
            <w:tcW w:w="1431"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104</w:t>
            </w:r>
          </w:p>
        </w:tc>
      </w:tr>
      <w:tr>
        <w:tblPrEx>
          <w:tblCellMar>
            <w:top w:w="0" w:type="dxa"/>
            <w:left w:w="23" w:type="dxa"/>
            <w:bottom w:w="0" w:type="dxa"/>
            <w:right w:w="23" w:type="dxa"/>
          </w:tblCellMar>
        </w:tblPrEx>
        <w:trPr>
          <w:trHeight w:val="334" w:hRule="atLeast"/>
          <w:jc w:val="center"/>
        </w:trPr>
        <w:tc>
          <w:tcPr>
            <w:tcW w:w="238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方正仿宋_GBK" w:cs="Times New Roman"/>
                <w:b w:val="0"/>
                <w:bCs w:val="0"/>
                <w:color w:val="auto"/>
                <w:szCs w:val="21"/>
                <w:highlight w:val="none"/>
                <w:lang w:eastAsia="en-US"/>
              </w:rPr>
            </w:pPr>
            <w:r>
              <w:rPr>
                <w:rFonts w:hint="default" w:ascii="Times New Roman" w:hAnsi="Times New Roman" w:eastAsia="方正仿宋_GBK" w:cs="Times New Roman"/>
                <w:b w:val="0"/>
                <w:bCs w:val="0"/>
                <w:color w:val="auto"/>
                <w:szCs w:val="21"/>
                <w:highlight w:val="none"/>
                <w:lang w:eastAsia="en-US"/>
              </w:rPr>
              <w:t>粮食</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65</w:t>
            </w:r>
          </w:p>
        </w:tc>
        <w:tc>
          <w:tcPr>
            <w:tcW w:w="1304"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2.3%</w:t>
            </w:r>
          </w:p>
        </w:tc>
        <w:tc>
          <w:tcPr>
            <w:tcW w:w="1435"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27</w:t>
            </w:r>
          </w:p>
        </w:tc>
        <w:tc>
          <w:tcPr>
            <w:tcW w:w="1431"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38</w:t>
            </w:r>
          </w:p>
        </w:tc>
      </w:tr>
      <w:tr>
        <w:tblPrEx>
          <w:tblCellMar>
            <w:top w:w="0" w:type="dxa"/>
            <w:left w:w="23" w:type="dxa"/>
            <w:bottom w:w="0" w:type="dxa"/>
            <w:right w:w="23" w:type="dxa"/>
          </w:tblCellMar>
        </w:tblPrEx>
        <w:trPr>
          <w:trHeight w:val="334" w:hRule="atLeast"/>
          <w:jc w:val="center"/>
        </w:trPr>
        <w:tc>
          <w:tcPr>
            <w:tcW w:w="238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方正仿宋_GBK" w:cs="Times New Roman"/>
                <w:b w:val="0"/>
                <w:bCs w:val="0"/>
                <w:color w:val="auto"/>
                <w:szCs w:val="21"/>
                <w:highlight w:val="none"/>
                <w:lang w:eastAsia="en-US"/>
              </w:rPr>
            </w:pPr>
            <w:r>
              <w:rPr>
                <w:rFonts w:hint="default" w:ascii="Times New Roman" w:hAnsi="Times New Roman" w:eastAsia="方正仿宋_GBK" w:cs="Times New Roman"/>
                <w:b w:val="0"/>
                <w:bCs w:val="0"/>
                <w:color w:val="auto"/>
                <w:szCs w:val="21"/>
                <w:highlight w:val="none"/>
                <w:lang w:eastAsia="en-US"/>
              </w:rPr>
              <w:t>化工原料及制品</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57</w:t>
            </w:r>
          </w:p>
        </w:tc>
        <w:tc>
          <w:tcPr>
            <w:tcW w:w="1304"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2.0%</w:t>
            </w:r>
          </w:p>
        </w:tc>
        <w:tc>
          <w:tcPr>
            <w:tcW w:w="1435"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0</w:t>
            </w:r>
          </w:p>
        </w:tc>
        <w:tc>
          <w:tcPr>
            <w:tcW w:w="1431"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57</w:t>
            </w:r>
          </w:p>
        </w:tc>
      </w:tr>
      <w:tr>
        <w:tblPrEx>
          <w:tblCellMar>
            <w:top w:w="0" w:type="dxa"/>
            <w:left w:w="23" w:type="dxa"/>
            <w:bottom w:w="0" w:type="dxa"/>
            <w:right w:w="23" w:type="dxa"/>
          </w:tblCellMar>
        </w:tblPrEx>
        <w:trPr>
          <w:trHeight w:val="334" w:hRule="atLeast"/>
          <w:jc w:val="center"/>
        </w:trPr>
        <w:tc>
          <w:tcPr>
            <w:tcW w:w="238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方正仿宋_GBK" w:cs="Times New Roman"/>
                <w:b w:val="0"/>
                <w:bCs w:val="0"/>
                <w:color w:val="auto"/>
                <w:szCs w:val="21"/>
                <w:highlight w:val="none"/>
                <w:lang w:eastAsia="en-US"/>
              </w:rPr>
            </w:pPr>
            <w:r>
              <w:rPr>
                <w:rFonts w:hint="default" w:ascii="Times New Roman" w:hAnsi="Times New Roman" w:eastAsia="方正仿宋_GBK" w:cs="Times New Roman"/>
                <w:b w:val="0"/>
                <w:bCs w:val="0"/>
                <w:color w:val="auto"/>
                <w:szCs w:val="21"/>
                <w:highlight w:val="none"/>
                <w:lang w:eastAsia="en-US"/>
              </w:rPr>
              <w:t>钢铁</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50</w:t>
            </w:r>
          </w:p>
        </w:tc>
        <w:tc>
          <w:tcPr>
            <w:tcW w:w="1304"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1.8%</w:t>
            </w:r>
          </w:p>
        </w:tc>
        <w:tc>
          <w:tcPr>
            <w:tcW w:w="1435"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24</w:t>
            </w:r>
          </w:p>
        </w:tc>
        <w:tc>
          <w:tcPr>
            <w:tcW w:w="1431"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27</w:t>
            </w:r>
          </w:p>
        </w:tc>
      </w:tr>
      <w:tr>
        <w:tblPrEx>
          <w:tblCellMar>
            <w:top w:w="0" w:type="dxa"/>
            <w:left w:w="23" w:type="dxa"/>
            <w:bottom w:w="0" w:type="dxa"/>
            <w:right w:w="23" w:type="dxa"/>
          </w:tblCellMar>
        </w:tblPrEx>
        <w:trPr>
          <w:trHeight w:val="334" w:hRule="atLeast"/>
          <w:jc w:val="center"/>
        </w:trPr>
        <w:tc>
          <w:tcPr>
            <w:tcW w:w="238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方正仿宋_GBK" w:cs="Times New Roman"/>
                <w:b w:val="0"/>
                <w:bCs w:val="0"/>
                <w:color w:val="auto"/>
                <w:szCs w:val="21"/>
                <w:highlight w:val="none"/>
                <w:lang w:eastAsia="en-US"/>
              </w:rPr>
            </w:pPr>
            <w:r>
              <w:rPr>
                <w:rFonts w:hint="default" w:ascii="Times New Roman" w:hAnsi="Times New Roman" w:eastAsia="方正仿宋_GBK" w:cs="Times New Roman"/>
                <w:b w:val="0"/>
                <w:bCs w:val="0"/>
                <w:color w:val="auto"/>
                <w:szCs w:val="21"/>
                <w:highlight w:val="none"/>
                <w:lang w:eastAsia="en-US"/>
              </w:rPr>
              <w:t>轻工、医药产品</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32</w:t>
            </w:r>
          </w:p>
        </w:tc>
        <w:tc>
          <w:tcPr>
            <w:tcW w:w="1304"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1.1%</w:t>
            </w:r>
          </w:p>
        </w:tc>
        <w:tc>
          <w:tcPr>
            <w:tcW w:w="1435"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0</w:t>
            </w:r>
          </w:p>
        </w:tc>
        <w:tc>
          <w:tcPr>
            <w:tcW w:w="1431"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32</w:t>
            </w:r>
          </w:p>
        </w:tc>
      </w:tr>
      <w:tr>
        <w:tblPrEx>
          <w:tblCellMar>
            <w:top w:w="0" w:type="dxa"/>
            <w:left w:w="23" w:type="dxa"/>
            <w:bottom w:w="0" w:type="dxa"/>
            <w:right w:w="23" w:type="dxa"/>
          </w:tblCellMar>
        </w:tblPrEx>
        <w:trPr>
          <w:trHeight w:val="334" w:hRule="atLeast"/>
          <w:jc w:val="center"/>
        </w:trPr>
        <w:tc>
          <w:tcPr>
            <w:tcW w:w="238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方正仿宋_GBK" w:cs="Times New Roman"/>
                <w:b w:val="0"/>
                <w:bCs w:val="0"/>
                <w:color w:val="auto"/>
                <w:szCs w:val="21"/>
                <w:highlight w:val="none"/>
                <w:lang w:eastAsia="en-US"/>
              </w:rPr>
            </w:pPr>
            <w:r>
              <w:rPr>
                <w:rFonts w:hint="default" w:ascii="Times New Roman" w:hAnsi="Times New Roman" w:eastAsia="方正仿宋_GBK" w:cs="Times New Roman"/>
                <w:b w:val="0"/>
                <w:bCs w:val="0"/>
                <w:color w:val="auto"/>
                <w:szCs w:val="21"/>
                <w:highlight w:val="none"/>
                <w:lang w:eastAsia="en-US"/>
              </w:rPr>
              <w:t>石油、天然气及制品</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20</w:t>
            </w:r>
          </w:p>
        </w:tc>
        <w:tc>
          <w:tcPr>
            <w:tcW w:w="1304"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0.7%</w:t>
            </w:r>
          </w:p>
        </w:tc>
        <w:tc>
          <w:tcPr>
            <w:tcW w:w="1435"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3</w:t>
            </w:r>
          </w:p>
        </w:tc>
        <w:tc>
          <w:tcPr>
            <w:tcW w:w="1431"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17</w:t>
            </w:r>
          </w:p>
        </w:tc>
      </w:tr>
      <w:tr>
        <w:tblPrEx>
          <w:tblCellMar>
            <w:top w:w="0" w:type="dxa"/>
            <w:left w:w="23" w:type="dxa"/>
            <w:bottom w:w="0" w:type="dxa"/>
            <w:right w:w="23" w:type="dxa"/>
          </w:tblCellMar>
        </w:tblPrEx>
        <w:trPr>
          <w:trHeight w:val="334" w:hRule="atLeast"/>
          <w:jc w:val="center"/>
        </w:trPr>
        <w:tc>
          <w:tcPr>
            <w:tcW w:w="238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方正仿宋_GBK" w:cs="Times New Roman"/>
                <w:b w:val="0"/>
                <w:bCs w:val="0"/>
                <w:color w:val="auto"/>
                <w:szCs w:val="21"/>
                <w:highlight w:val="none"/>
              </w:rPr>
            </w:pPr>
            <w:r>
              <w:rPr>
                <w:rFonts w:hint="default" w:ascii="Times New Roman" w:hAnsi="Times New Roman" w:eastAsia="方正仿宋_GBK" w:cs="Times New Roman"/>
                <w:b w:val="0"/>
                <w:bCs w:val="0"/>
                <w:color w:val="auto"/>
                <w:szCs w:val="21"/>
                <w:highlight w:val="none"/>
              </w:rPr>
              <w:t>农、林、牧、渔业产品</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20</w:t>
            </w:r>
          </w:p>
        </w:tc>
        <w:tc>
          <w:tcPr>
            <w:tcW w:w="1304"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0.7%</w:t>
            </w:r>
          </w:p>
        </w:tc>
        <w:tc>
          <w:tcPr>
            <w:tcW w:w="1435"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13</w:t>
            </w:r>
          </w:p>
        </w:tc>
        <w:tc>
          <w:tcPr>
            <w:tcW w:w="1431"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7</w:t>
            </w:r>
          </w:p>
        </w:tc>
      </w:tr>
      <w:tr>
        <w:tblPrEx>
          <w:tblCellMar>
            <w:top w:w="0" w:type="dxa"/>
            <w:left w:w="23" w:type="dxa"/>
            <w:bottom w:w="0" w:type="dxa"/>
            <w:right w:w="23" w:type="dxa"/>
          </w:tblCellMar>
        </w:tblPrEx>
        <w:trPr>
          <w:trHeight w:val="334" w:hRule="atLeast"/>
          <w:jc w:val="center"/>
        </w:trPr>
        <w:tc>
          <w:tcPr>
            <w:tcW w:w="238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方正仿宋_GBK" w:cs="Times New Roman"/>
                <w:b w:val="0"/>
                <w:bCs w:val="0"/>
                <w:color w:val="auto"/>
                <w:szCs w:val="21"/>
                <w:highlight w:val="none"/>
                <w:lang w:eastAsia="en-US"/>
              </w:rPr>
            </w:pPr>
            <w:r>
              <w:rPr>
                <w:rFonts w:hint="default" w:ascii="Times New Roman" w:hAnsi="Times New Roman" w:eastAsia="方正仿宋_GBK" w:cs="Times New Roman"/>
                <w:b w:val="0"/>
                <w:bCs w:val="0"/>
                <w:color w:val="auto"/>
                <w:szCs w:val="21"/>
                <w:highlight w:val="none"/>
                <w:lang w:eastAsia="en-US"/>
              </w:rPr>
              <w:t>水泥</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11</w:t>
            </w:r>
          </w:p>
        </w:tc>
        <w:tc>
          <w:tcPr>
            <w:tcW w:w="1304"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0.4%</w:t>
            </w:r>
          </w:p>
        </w:tc>
        <w:tc>
          <w:tcPr>
            <w:tcW w:w="1435"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0</w:t>
            </w:r>
          </w:p>
        </w:tc>
        <w:tc>
          <w:tcPr>
            <w:tcW w:w="1431"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11</w:t>
            </w:r>
          </w:p>
        </w:tc>
      </w:tr>
      <w:tr>
        <w:tblPrEx>
          <w:tblCellMar>
            <w:top w:w="0" w:type="dxa"/>
            <w:left w:w="23" w:type="dxa"/>
            <w:bottom w:w="0" w:type="dxa"/>
            <w:right w:w="23" w:type="dxa"/>
          </w:tblCellMar>
        </w:tblPrEx>
        <w:trPr>
          <w:trHeight w:val="344" w:hRule="atLeast"/>
          <w:jc w:val="center"/>
        </w:trPr>
        <w:tc>
          <w:tcPr>
            <w:tcW w:w="2386" w:type="dxa"/>
            <w:tcBorders>
              <w:top w:val="nil"/>
              <w:left w:val="single" w:color="000000" w:sz="4" w:space="0"/>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方正仿宋_GBK" w:cs="Times New Roman"/>
                <w:b w:val="0"/>
                <w:bCs w:val="0"/>
                <w:color w:val="auto"/>
                <w:szCs w:val="21"/>
                <w:highlight w:val="none"/>
                <w:lang w:eastAsia="en-US"/>
              </w:rPr>
            </w:pPr>
            <w:r>
              <w:rPr>
                <w:rFonts w:hint="default" w:ascii="Times New Roman" w:hAnsi="Times New Roman" w:eastAsia="方正仿宋_GBK" w:cs="Times New Roman"/>
                <w:b w:val="0"/>
                <w:bCs w:val="0"/>
                <w:color w:val="auto"/>
                <w:szCs w:val="21"/>
                <w:highlight w:val="none"/>
                <w:lang w:eastAsia="en-US"/>
              </w:rPr>
              <w:t>木材</w:t>
            </w:r>
          </w:p>
        </w:tc>
        <w:tc>
          <w:tcPr>
            <w:tcW w:w="1442"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3</w:t>
            </w:r>
          </w:p>
        </w:tc>
        <w:tc>
          <w:tcPr>
            <w:tcW w:w="1304"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0.1%</w:t>
            </w:r>
          </w:p>
        </w:tc>
        <w:tc>
          <w:tcPr>
            <w:tcW w:w="1435"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0</w:t>
            </w:r>
          </w:p>
        </w:tc>
        <w:tc>
          <w:tcPr>
            <w:tcW w:w="1431" w:type="dxa"/>
            <w:tcBorders>
              <w:top w:val="nil"/>
              <w:left w:val="nil"/>
              <w:bottom w:val="single" w:color="000000" w:sz="4" w:space="0"/>
              <w:right w:val="single" w:color="000000" w:sz="4" w:space="0"/>
            </w:tcBorders>
            <w:shd w:val="clear" w:color="000000" w:fill="FFFFFF"/>
            <w:noWrap/>
            <w:vAlign w:val="center"/>
          </w:tcPr>
          <w:p>
            <w:pPr>
              <w:widowControl/>
              <w:jc w:val="center"/>
              <w:rPr>
                <w:rFonts w:hint="default" w:ascii="Times New Roman" w:hAnsi="Times New Roman" w:eastAsia="宋体" w:cs="Times New Roman"/>
                <w:b w:val="0"/>
                <w:bCs w:val="0"/>
                <w:color w:val="auto"/>
                <w:kern w:val="0"/>
                <w:szCs w:val="21"/>
                <w:highlight w:val="none"/>
              </w:rPr>
            </w:pPr>
            <w:r>
              <w:rPr>
                <w:rFonts w:hint="default" w:ascii="Times New Roman" w:hAnsi="Times New Roman" w:eastAsia="宋体" w:cs="Times New Roman"/>
                <w:b w:val="0"/>
                <w:bCs w:val="0"/>
                <w:color w:val="auto"/>
                <w:kern w:val="0"/>
                <w:szCs w:val="21"/>
                <w:highlight w:val="none"/>
              </w:rPr>
              <w:t>3</w:t>
            </w:r>
          </w:p>
        </w:tc>
      </w:tr>
    </w:tbl>
    <w:p>
      <w:pPr>
        <w:keepNext w:val="0"/>
        <w:keepLines w:val="0"/>
        <w:pageBreakBefore w:val="0"/>
        <w:widowControl w:val="0"/>
        <w:kinsoku/>
        <w:wordWrap/>
        <w:overflowPunct/>
        <w:topLinePunct/>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rPr>
        <w:t>4. 发挥水运航道优势，做大做强产业载体。</w:t>
      </w:r>
      <w:r>
        <w:rPr>
          <w:rFonts w:hint="default" w:ascii="Times New Roman" w:hAnsi="Times New Roman" w:eastAsia="方正仿宋_GBK" w:cs="Times New Roman"/>
          <w:b w:val="0"/>
          <w:bCs w:val="0"/>
          <w:sz w:val="32"/>
          <w:szCs w:val="32"/>
        </w:rPr>
        <w:t>水运是最符合节能减排和绿色发展的交通运输方式，具有运量大、运距长、运价低等优势。宿迁具有良好的水运自然条件，依托水运航道的流通优势，可大大降低沿线园区内企业的物流成本，有利于重大项目集聚落地，助力沿线园区发展壮大。目前，京杭运河航道沿线承载1个国家级经开区、1个国家级高新区、1个国家级电商示范基地、3个省级经开区以及4个南北共建园区，覆盖我市62.5%的载体平台。宿连航道经过宿豫区、沭阳县16个乡镇和街道，沿线规划或初步建设十余个产业园区。徐洪河经过宿城区、泗洪县7个乡镇，初步形成“1个临港产业园、1个农业产业园、若干乡镇工业园”的产业布局。依托内河航道资源优势和内河港口发展基础，可为沿线的企业提供更为便捷、低价的物流运输方案，提高沿线产业载体吸引力，带动区域产业发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keepNext w:val="0"/>
        <w:keepLines w:val="0"/>
        <w:pageBreakBefore w:val="0"/>
        <w:widowControl w:val="0"/>
        <w:kinsoku/>
        <w:wordWrap/>
        <w:overflowPunct/>
        <w:autoSpaceDE/>
        <w:autoSpaceDN/>
        <w:bidi w:val="0"/>
        <w:adjustRightInd/>
        <w:snapToGrid/>
        <w:spacing w:line="530" w:lineRule="exact"/>
        <w:ind w:firstLine="640" w:firstLineChars="200"/>
        <w:textAlignment w:val="auto"/>
        <w:outlineLvl w:val="9"/>
        <w:rPr>
          <w:rFonts w:hint="default" w:ascii="Times New Roman" w:hAnsi="Times New Roman" w:eastAsia="方正黑体_GBK" w:cs="Times New Roman"/>
          <w:b w:val="0"/>
          <w:bCs w:val="0"/>
          <w:sz w:val="24"/>
          <w:szCs w:val="21"/>
        </w:rPr>
      </w:pPr>
      <w:bookmarkStart w:id="64" w:name="_Toc150428995"/>
      <w:bookmarkStart w:id="65" w:name="_Toc159339944"/>
      <w:bookmarkStart w:id="66" w:name="_Toc156482270"/>
      <w:bookmarkStart w:id="67" w:name="_Toc156925274"/>
      <w:bookmarkStart w:id="68" w:name="_Toc157594498"/>
      <w:r>
        <w:rPr>
          <w:rFonts w:hint="default" w:ascii="Times New Roman" w:hAnsi="Times New Roman" w:eastAsia="方正楷体_GBK" w:cs="Times New Roman"/>
          <w:b w:val="0"/>
          <w:bCs w:val="0"/>
          <w:sz w:val="32"/>
          <w:szCs w:val="32"/>
        </w:rPr>
        <w:t>5. 临港园区加速壮大，产业基础逐步夯实。</w:t>
      </w:r>
      <w:r>
        <w:rPr>
          <w:rFonts w:hint="default" w:ascii="Times New Roman" w:hAnsi="Times New Roman" w:eastAsia="方正仿宋_GBK" w:cs="Times New Roman"/>
          <w:b w:val="0"/>
          <w:bCs w:val="0"/>
          <w:sz w:val="32"/>
          <w:szCs w:val="32"/>
        </w:rPr>
        <w:t>宿迁依托得天独厚的水运航道资源，加快重点临港特色产业园区建设，目前全市在京杭运河、宿连航道、徐洪河等高等级航道沿线建设了运河宿迁港产业园、陆集临港产业园、泗阳经济开发区、沭阳临港产业园等多个重点临港产业园区，并大力完善公路、铁路等集疏运通道，进一步扩大临港园区交通物流优势。同时依托各园区产业发展基础和资源禀赋优势，推动临港产业发展壮大，构建形成了高端纺织、新材料、装备制造等特色优势产业。加快建设完善园区各类基础设施，为入园企业提供充足的水、电、气、</w:t>
      </w:r>
      <w:r>
        <w:rPr>
          <w:rFonts w:hint="default" w:ascii="Times New Roman" w:hAnsi="Times New Roman" w:eastAsia="方正仿宋_GBK" w:cs="Times New Roman"/>
          <w:b w:val="0"/>
          <w:bCs w:val="0"/>
          <w:sz w:val="32"/>
          <w:szCs w:val="32"/>
          <w:lang w:eastAsia="zh-CN"/>
        </w:rPr>
        <w:t>热、</w:t>
      </w:r>
      <w:r>
        <w:rPr>
          <w:rFonts w:hint="default" w:ascii="Times New Roman" w:hAnsi="Times New Roman" w:eastAsia="方正仿宋_GBK" w:cs="Times New Roman"/>
          <w:b w:val="0"/>
          <w:bCs w:val="0"/>
          <w:sz w:val="32"/>
          <w:szCs w:val="32"/>
        </w:rPr>
        <w:t>土地等资源要素保障。积极推动创新、金融等高端要素向临港产业园区集聚，为园区特色产业发展壮大和优质企业培育注入强劲动能。</w:t>
      </w:r>
      <w:bookmarkEnd w:id="64"/>
      <w:bookmarkEnd w:id="65"/>
      <w:bookmarkEnd w:id="66"/>
      <w:bookmarkEnd w:id="67"/>
      <w:bookmarkEnd w:id="68"/>
    </w:p>
    <w:p>
      <w:pPr>
        <w:keepNext w:val="0"/>
        <w:keepLines w:val="0"/>
        <w:pageBreakBefore w:val="0"/>
        <w:widowControl w:val="0"/>
        <w:kinsoku/>
        <w:wordWrap/>
        <w:overflowPunct/>
        <w:topLinePunct/>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b w:val="0"/>
          <w:bCs w:val="0"/>
          <w:sz w:val="32"/>
          <w:szCs w:val="32"/>
        </w:rPr>
      </w:pPr>
      <w:bookmarkStart w:id="69" w:name="_Toc156925275"/>
      <w:bookmarkStart w:id="70" w:name="_Toc148367425"/>
      <w:bookmarkStart w:id="71" w:name="_Toc159339945"/>
      <w:bookmarkStart w:id="72" w:name="_Toc149638738"/>
      <w:bookmarkStart w:id="73" w:name="_Toc148627522"/>
      <w:bookmarkStart w:id="74" w:name="_Toc149432805"/>
      <w:bookmarkStart w:id="75" w:name="_Toc152347403"/>
      <w:bookmarkStart w:id="76" w:name="_Toc148968211"/>
      <w:bookmarkStart w:id="77" w:name="_Toc156482271"/>
      <w:bookmarkStart w:id="78" w:name="_Toc157594499"/>
      <w:bookmarkStart w:id="79" w:name="_Toc150428996"/>
      <w:bookmarkStart w:id="80" w:name="_Toc150419762"/>
      <w:bookmarkStart w:id="81" w:name="_Toc156429387"/>
      <w:bookmarkStart w:id="82" w:name="_Toc156429053"/>
      <w:bookmarkStart w:id="83" w:name="_Toc156429251"/>
      <w:r>
        <w:rPr>
          <w:rFonts w:hint="default" w:ascii="Times New Roman" w:hAnsi="Times New Roman" w:eastAsia="方正楷体_GBK" w:cs="Times New Roman"/>
          <w:b w:val="0"/>
          <w:bCs w:val="0"/>
          <w:sz w:val="32"/>
          <w:szCs w:val="32"/>
        </w:rPr>
        <w:t>6. 打造重要运输通道，带动产业持续发展。</w:t>
      </w:r>
      <w:r>
        <w:rPr>
          <w:rFonts w:hint="default" w:ascii="Times New Roman" w:hAnsi="Times New Roman" w:eastAsia="方正仿宋_GBK" w:cs="Times New Roman"/>
          <w:b w:val="0"/>
          <w:bCs w:val="0"/>
          <w:sz w:val="32"/>
          <w:szCs w:val="32"/>
        </w:rPr>
        <w:t>港口是区域开展大宗货物、工业原材料及产成品等重大物资运输的重要通道，为临港产业发展提供了原料及产成品运输服务。依托港口运输通道优势，近年来，全市绿色建材、绿色家居、食品加工等原料或产品运输主要依托水运的临港产业发展取得了显著成</w:t>
      </w:r>
      <w:r>
        <w:rPr>
          <w:rFonts w:hint="default" w:ascii="Times New Roman" w:hAnsi="Times New Roman" w:eastAsia="方正仿宋_GBK" w:cs="Times New Roman"/>
          <w:b w:val="0"/>
          <w:bCs w:val="0"/>
          <w:color w:val="auto"/>
          <w:sz w:val="32"/>
          <w:szCs w:val="32"/>
        </w:rPr>
        <w:t>效。</w:t>
      </w:r>
      <w:r>
        <w:rPr>
          <w:rFonts w:hint="default" w:ascii="Times New Roman" w:hAnsi="Times New Roman" w:eastAsia="方正仿宋_GBK" w:cs="Times New Roman"/>
          <w:b w:val="0"/>
          <w:bCs w:val="0"/>
          <w:color w:val="auto"/>
          <w:sz w:val="32"/>
          <w:szCs w:val="32"/>
          <w:highlight w:val="none"/>
        </w:rPr>
        <w:t>2023年，宿迁港完成矿建材料吞吐量1452万吨</w:t>
      </w:r>
      <w:r>
        <w:rPr>
          <w:rFonts w:hint="default" w:ascii="Times New Roman" w:hAnsi="Times New Roman" w:eastAsia="方正仿宋_GBK" w:cs="Times New Roman"/>
          <w:b w:val="0"/>
          <w:bCs w:val="0"/>
          <w:color w:val="auto"/>
          <w:sz w:val="32"/>
          <w:szCs w:val="32"/>
        </w:rPr>
        <w:t>，成为全市及周边地区城镇建筑材料中转运输的主要通道，有力带动了全市绿色建材产业发展。</w:t>
      </w:r>
      <w:r>
        <w:rPr>
          <w:rFonts w:hint="default" w:ascii="Times New Roman" w:hAnsi="Times New Roman" w:eastAsia="方正仿宋_GBK" w:cs="Times New Roman"/>
          <w:b w:val="0"/>
          <w:bCs w:val="0"/>
          <w:color w:val="auto"/>
          <w:sz w:val="32"/>
          <w:szCs w:val="32"/>
          <w:highlight w:val="none"/>
        </w:rPr>
        <w:t>以宿迁最大的中心港区为例，现已建成包括成品油、金属矿石、煤炭、散装粮食和液体化工等专业化泊位和通用件杂货、通用散货等共51个泊位</w:t>
      </w:r>
      <w:r>
        <w:rPr>
          <w:rFonts w:hint="default" w:ascii="Times New Roman" w:hAnsi="Times New Roman"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2023年，完成货物吞吐量2122.5万吨，</w:t>
      </w:r>
      <w:r>
        <w:rPr>
          <w:rFonts w:hint="default" w:ascii="Times New Roman" w:hAnsi="Times New Roman" w:eastAsia="方正仿宋_GBK" w:cs="Times New Roman"/>
          <w:b w:val="0"/>
          <w:bCs w:val="0"/>
          <w:sz w:val="32"/>
          <w:szCs w:val="32"/>
        </w:rPr>
        <w:t>主要包括煤炭、矿建材料、非金属矿石、集装箱等，重点服务宿城区、宿豫区、宿迁经济开发区、苏宿工业园区等区域产业发展，有力带动了装备制造、绿色建材、新材料、化纤、纺织服装、高端家居、智能家电、新能源、食品加工等多个产业的发展。</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keepNext w:val="0"/>
        <w:keepLines w:val="0"/>
        <w:pageBreakBefore w:val="0"/>
        <w:widowControl w:val="0"/>
        <w:kinsoku/>
        <w:wordWrap/>
        <w:overflowPunct/>
        <w:topLinePunct/>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b w:val="0"/>
          <w:bCs w:val="0"/>
          <w:sz w:val="32"/>
          <w:szCs w:val="32"/>
        </w:rPr>
      </w:pPr>
      <w:bookmarkStart w:id="84" w:name="_Toc159339946"/>
      <w:bookmarkStart w:id="85" w:name="_Toc156482272"/>
      <w:bookmarkStart w:id="86" w:name="_Toc156925276"/>
      <w:bookmarkStart w:id="87" w:name="_Toc149638739"/>
      <w:bookmarkStart w:id="88" w:name="_Toc149432806"/>
      <w:bookmarkStart w:id="89" w:name="_Toc152347404"/>
      <w:bookmarkStart w:id="90" w:name="_Toc148968212"/>
      <w:bookmarkStart w:id="91" w:name="_Toc148367426"/>
      <w:bookmarkStart w:id="92" w:name="_Toc156429054"/>
      <w:bookmarkStart w:id="93" w:name="_Toc157594500"/>
      <w:bookmarkStart w:id="94" w:name="_Toc150428997"/>
      <w:bookmarkStart w:id="95" w:name="_Toc150419763"/>
      <w:bookmarkStart w:id="96" w:name="_Toc156429252"/>
      <w:bookmarkStart w:id="97" w:name="_Toc148627523"/>
      <w:bookmarkStart w:id="98" w:name="_Toc156429388"/>
      <w:r>
        <w:rPr>
          <w:rFonts w:hint="default" w:ascii="Times New Roman" w:hAnsi="Times New Roman" w:eastAsia="方正楷体_GBK" w:cs="Times New Roman"/>
          <w:b w:val="0"/>
          <w:bCs w:val="0"/>
          <w:sz w:val="32"/>
          <w:szCs w:val="32"/>
        </w:rPr>
        <w:t>7. 腹地经济持续增长，反哺港口稳步发展。</w:t>
      </w:r>
      <w:r>
        <w:rPr>
          <w:rFonts w:hint="default" w:ascii="Times New Roman" w:hAnsi="Times New Roman" w:eastAsia="方正仿宋_GBK" w:cs="Times New Roman"/>
          <w:b w:val="0"/>
          <w:bCs w:val="0"/>
          <w:sz w:val="32"/>
          <w:szCs w:val="32"/>
        </w:rPr>
        <w:t>腹地经济的发展有助于提高港口货物吞吐量，进而持续优化临港产业结构和港口资源的优化配置。宿迁港的直接经济腹地为宿迁市域，间接经济腹地为连云港、淮安、徐州和蚌埠、宿州，并拓展到豫东、鲁南、皖北等其他周边地区。近年来，宿迁、连云港、徐州、淮安等地通过承接苏南等长三角地区产业转移，经济规模迅速扩大，产业结构得到优化，综合经济实力显著提升，腹地适合集装箱运输的货源基础优厚。从直接腹地宿迁看，</w:t>
      </w:r>
      <w:r>
        <w:rPr>
          <w:rFonts w:hint="eastAsia" w:ascii="Times New Roman" w:hAnsi="Times New Roman" w:eastAsia="方正仿宋_GBK" w:cs="Times New Roman"/>
          <w:b w:val="0"/>
          <w:bCs w:val="0"/>
          <w:sz w:val="32"/>
          <w:szCs w:val="32"/>
          <w:lang w:val="en-US" w:eastAsia="zh-CN"/>
        </w:rPr>
        <w:t>2023</w:t>
      </w:r>
      <w:r>
        <w:rPr>
          <w:rFonts w:hint="default" w:ascii="Times New Roman" w:hAnsi="Times New Roman" w:eastAsia="方正仿宋_GBK" w:cs="Times New Roman"/>
          <w:b w:val="0"/>
          <w:bCs w:val="0"/>
          <w:sz w:val="32"/>
          <w:szCs w:val="32"/>
        </w:rPr>
        <w:t>年，全市实现地区生产总值</w:t>
      </w:r>
      <w:r>
        <w:rPr>
          <w:rFonts w:hint="default" w:ascii="Times New Roman" w:hAnsi="Times New Roman" w:eastAsia="方正仿宋_GBK" w:cs="Times New Roman"/>
          <w:b w:val="0"/>
          <w:bCs w:val="0"/>
          <w:sz w:val="32"/>
          <w:szCs w:val="32"/>
          <w:lang w:val="en-US" w:eastAsia="zh-CN"/>
        </w:rPr>
        <w:t>4398.07</w:t>
      </w:r>
      <w:r>
        <w:rPr>
          <w:rFonts w:hint="default" w:ascii="Times New Roman" w:hAnsi="Times New Roman" w:eastAsia="方正仿宋_GBK" w:cs="Times New Roman"/>
          <w:b w:val="0"/>
          <w:bCs w:val="0"/>
          <w:sz w:val="32"/>
          <w:szCs w:val="32"/>
        </w:rPr>
        <w:t>亿元，同比增长</w:t>
      </w:r>
      <w:r>
        <w:rPr>
          <w:rFonts w:hint="default" w:ascii="Times New Roman" w:hAnsi="Times New Roman" w:eastAsia="方正仿宋_GBK" w:cs="Times New Roman"/>
          <w:b w:val="0"/>
          <w:bCs w:val="0"/>
          <w:sz w:val="32"/>
          <w:szCs w:val="32"/>
          <w:lang w:val="en-US" w:eastAsia="zh-CN"/>
        </w:rPr>
        <w:t>7.8</w:t>
      </w:r>
      <w:r>
        <w:rPr>
          <w:rFonts w:hint="default" w:ascii="Times New Roman" w:hAnsi="Times New Roman" w:eastAsia="方正仿宋_GBK" w:cs="Times New Roman"/>
          <w:b w:val="0"/>
          <w:bCs w:val="0"/>
          <w:sz w:val="32"/>
          <w:szCs w:val="32"/>
        </w:rPr>
        <w:t>%。宿迁地区产业转型升级不断加快，千亿级产业培育计划扎实推进，天合光能、中建材凯盛等一大批百亿级重大项目相继引进，初步形成“</w:t>
      </w:r>
      <w:r>
        <w:rPr>
          <w:rFonts w:hint="default" w:ascii="Times New Roman" w:hAnsi="Times New Roman" w:eastAsia="方正仿宋_GBK" w:cs="Times New Roman"/>
          <w:b w:val="0"/>
          <w:bCs w:val="0"/>
          <w:sz w:val="32"/>
          <w:szCs w:val="32"/>
          <w:lang w:val="en-US" w:eastAsia="zh-CN"/>
        </w:rPr>
        <w:t>615</w:t>
      </w:r>
      <w:r>
        <w:rPr>
          <w:rFonts w:hint="default" w:ascii="Times New Roman" w:hAnsi="Times New Roman" w:eastAsia="方正仿宋_GBK" w:cs="Times New Roman"/>
          <w:b w:val="0"/>
          <w:bCs w:val="0"/>
          <w:sz w:val="32"/>
          <w:szCs w:val="32"/>
        </w:rPr>
        <w:t>”产业体系，未来智能家电、绿色建材、机电装备、新材料、高端纺织等产业的快速发展将为宿迁港航发展提供充足的货运需求。</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keepNext w:val="0"/>
        <w:keepLines w:val="0"/>
        <w:pageBreakBefore w:val="0"/>
        <w:widowControl w:val="0"/>
        <w:kinsoku/>
        <w:wordWrap/>
        <w:overflowPunct/>
        <w:autoSpaceDE/>
        <w:autoSpaceDN/>
        <w:bidi w:val="0"/>
        <w:adjustRightInd/>
        <w:snapToGrid/>
        <w:spacing w:line="530" w:lineRule="exact"/>
        <w:ind w:firstLine="640" w:firstLineChars="200"/>
        <w:textAlignment w:val="auto"/>
        <w:outlineLvl w:val="1"/>
        <w:rPr>
          <w:rFonts w:hint="default" w:ascii="Times New Roman" w:hAnsi="Times New Roman" w:eastAsia="方正楷体_GBK" w:cs="Times New Roman"/>
          <w:b w:val="0"/>
          <w:bCs w:val="0"/>
          <w:sz w:val="32"/>
          <w:szCs w:val="36"/>
        </w:rPr>
      </w:pPr>
      <w:bookmarkStart w:id="99" w:name="_Toc17143"/>
      <w:r>
        <w:rPr>
          <w:rFonts w:hint="default" w:ascii="Times New Roman" w:hAnsi="Times New Roman" w:eastAsia="方正楷体_GBK" w:cs="Times New Roman"/>
          <w:b w:val="0"/>
          <w:bCs w:val="0"/>
          <w:sz w:val="32"/>
          <w:szCs w:val="36"/>
        </w:rPr>
        <w:t>（二）存在不足</w:t>
      </w:r>
      <w:bookmarkEnd w:id="99"/>
    </w:p>
    <w:p>
      <w:pPr>
        <w:keepNext w:val="0"/>
        <w:keepLines w:val="0"/>
        <w:pageBreakBefore w:val="0"/>
        <w:widowControl w:val="0"/>
        <w:kinsoku/>
        <w:wordWrap/>
        <w:overflowPunct/>
        <w:topLinePunct/>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虽然近年来宿迁港航发展取得了较好成绩，但也要看到仍存在规模体量小、岸线利用率不高、港产互动不深、高端服务业缺失、物流体系不完善等不足，下一步需重点突破。</w:t>
      </w:r>
    </w:p>
    <w:p>
      <w:pPr>
        <w:keepNext w:val="0"/>
        <w:keepLines w:val="0"/>
        <w:pageBreakBefore w:val="0"/>
        <w:widowControl w:val="0"/>
        <w:kinsoku/>
        <w:wordWrap/>
        <w:overflowPunct/>
        <w:topLinePunct/>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b w:val="0"/>
          <w:bCs w:val="0"/>
          <w:sz w:val="32"/>
          <w:szCs w:val="32"/>
        </w:rPr>
      </w:pPr>
      <w:bookmarkStart w:id="100" w:name="_Toc148968214"/>
      <w:bookmarkStart w:id="101" w:name="_Toc159339948"/>
      <w:bookmarkStart w:id="102" w:name="_Toc152347406"/>
      <w:bookmarkStart w:id="103" w:name="_Toc156429056"/>
      <w:bookmarkStart w:id="104" w:name="_Toc148367428"/>
      <w:bookmarkStart w:id="105" w:name="_Toc150419765"/>
      <w:bookmarkStart w:id="106" w:name="_Toc156482274"/>
      <w:bookmarkStart w:id="107" w:name="_Toc148627525"/>
      <w:bookmarkStart w:id="108" w:name="_Toc149432808"/>
      <w:bookmarkStart w:id="109" w:name="_Toc157594502"/>
      <w:bookmarkStart w:id="110" w:name="_Toc149638741"/>
      <w:bookmarkStart w:id="111" w:name="_Toc150428999"/>
      <w:bookmarkStart w:id="112" w:name="_Toc156429254"/>
      <w:bookmarkStart w:id="113" w:name="_Toc156429390"/>
      <w:bookmarkStart w:id="114" w:name="_Toc156925278"/>
      <w:r>
        <w:rPr>
          <w:rFonts w:hint="default" w:ascii="Times New Roman" w:hAnsi="Times New Roman" w:eastAsia="方正楷体_GBK" w:cs="Times New Roman"/>
          <w:b w:val="0"/>
          <w:bCs w:val="0"/>
          <w:sz w:val="32"/>
          <w:szCs w:val="32"/>
        </w:rPr>
        <w:t>一是港口货物运输规模体量较小。</w:t>
      </w:r>
      <w:r>
        <w:rPr>
          <w:rFonts w:hint="default" w:ascii="Times New Roman" w:hAnsi="Times New Roman" w:eastAsia="方正仿宋_GBK" w:cs="Times New Roman"/>
          <w:b w:val="0"/>
          <w:bCs w:val="0"/>
          <w:sz w:val="32"/>
          <w:szCs w:val="32"/>
        </w:rPr>
        <w:t>近年来，宿迁采取多项措施全力推动全市水路运输发展，取得了一定成效，但与省内其他内河港口相比，规模体量整体仍然偏小。</w:t>
      </w:r>
      <w:r>
        <w:rPr>
          <w:rFonts w:hint="default" w:ascii="Times New Roman" w:hAnsi="Times New Roman" w:eastAsia="方正仿宋_GBK" w:cs="Times New Roman"/>
          <w:b w:val="0"/>
          <w:bCs w:val="0"/>
          <w:color w:val="auto"/>
          <w:sz w:val="32"/>
          <w:szCs w:val="32"/>
          <w:highlight w:val="none"/>
        </w:rPr>
        <w:t>2023年，宿迁港共完成吞吐量2850万吨，仅占全省内河港口吞吐量的4.4%，全省排名第9位，是排名首位苏州内河港的16.5%，</w:t>
      </w:r>
      <w:r>
        <w:rPr>
          <w:rFonts w:hint="default" w:ascii="Times New Roman" w:hAnsi="Times New Roman" w:eastAsia="方正仿宋_GBK" w:cs="Times New Roman"/>
          <w:b w:val="0"/>
          <w:bCs w:val="0"/>
          <w:sz w:val="32"/>
          <w:szCs w:val="32"/>
        </w:rPr>
        <w:t>与周边的淮安港、徐州港的吞吐量仍存在一定差距。</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keepNext w:val="0"/>
        <w:keepLines w:val="0"/>
        <w:pageBreakBefore w:val="0"/>
        <w:widowControl w:val="0"/>
        <w:kinsoku/>
        <w:wordWrap/>
        <w:overflowPunct/>
        <w:topLinePunct/>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b w:val="0"/>
          <w:bCs w:val="0"/>
          <w:sz w:val="32"/>
          <w:szCs w:val="32"/>
        </w:rPr>
      </w:pPr>
      <w:bookmarkStart w:id="115" w:name="_Toc150429000"/>
      <w:bookmarkStart w:id="116" w:name="_Toc159339949"/>
      <w:bookmarkStart w:id="117" w:name="_Toc148627526"/>
      <w:bookmarkStart w:id="118" w:name="_Toc156482275"/>
      <w:bookmarkStart w:id="119" w:name="_Toc156429391"/>
      <w:bookmarkStart w:id="120" w:name="_Toc149638742"/>
      <w:bookmarkStart w:id="121" w:name="_Toc156925279"/>
      <w:bookmarkStart w:id="122" w:name="_Toc156429255"/>
      <w:bookmarkStart w:id="123" w:name="_Toc156429057"/>
      <w:bookmarkStart w:id="124" w:name="_Toc152347407"/>
      <w:bookmarkStart w:id="125" w:name="_Toc149432809"/>
      <w:bookmarkStart w:id="126" w:name="_Toc148968215"/>
      <w:bookmarkStart w:id="127" w:name="_Toc157594503"/>
      <w:bookmarkStart w:id="128" w:name="_Toc148367429"/>
      <w:bookmarkStart w:id="129" w:name="_Toc150419766"/>
      <w:r>
        <w:rPr>
          <w:rFonts w:hint="default" w:ascii="Times New Roman" w:hAnsi="Times New Roman" w:eastAsia="方正楷体_GBK" w:cs="Times New Roman"/>
          <w:b w:val="0"/>
          <w:bCs w:val="0"/>
          <w:sz w:val="32"/>
          <w:szCs w:val="32"/>
        </w:rPr>
        <w:t>二是港口岸线开发利用水平有待提高。</w:t>
      </w:r>
      <w:r>
        <w:rPr>
          <w:rFonts w:hint="default" w:ascii="Times New Roman" w:hAnsi="Times New Roman" w:eastAsia="方正仿宋_GBK" w:cs="Times New Roman"/>
          <w:b w:val="0"/>
          <w:bCs w:val="0"/>
          <w:sz w:val="32"/>
          <w:szCs w:val="32"/>
        </w:rPr>
        <w:t>全市岸线存在利用布置分散，专业化、规模化程度较低，码头呈现“多、小散、乱”等现象，岸线整体利用效率还不够高。加上环境保护要求愈加严格，开发规模和强度受到较大影响，港口岸线利用与城市生活、环境保护之间的矛盾显现，需重点突破。如泗阳县在大运河新增姜桥集中式饮用水源地，滚坝、曹渡岸线落在水源地二级保护区内，岸线开发受到限制。</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keepNext w:val="0"/>
        <w:keepLines w:val="0"/>
        <w:pageBreakBefore w:val="0"/>
        <w:widowControl w:val="0"/>
        <w:kinsoku/>
        <w:wordWrap/>
        <w:overflowPunct/>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b w:val="0"/>
          <w:bCs w:val="0"/>
          <w:color w:val="000000"/>
          <w:sz w:val="32"/>
          <w:szCs w:val="32"/>
        </w:rPr>
      </w:pPr>
      <w:bookmarkStart w:id="130" w:name="_Toc157594504"/>
      <w:bookmarkStart w:id="131" w:name="_Toc148627527"/>
      <w:bookmarkStart w:id="132" w:name="_Toc149432810"/>
      <w:bookmarkStart w:id="133" w:name="_Toc150419767"/>
      <w:bookmarkStart w:id="134" w:name="_Toc156429256"/>
      <w:bookmarkStart w:id="135" w:name="_Toc156482276"/>
      <w:bookmarkStart w:id="136" w:name="_Toc150429001"/>
      <w:bookmarkStart w:id="137" w:name="_Toc149638743"/>
      <w:bookmarkStart w:id="138" w:name="_Toc159339950"/>
      <w:bookmarkStart w:id="139" w:name="_Toc148367430"/>
      <w:bookmarkStart w:id="140" w:name="_Toc156429392"/>
      <w:bookmarkStart w:id="141" w:name="_Toc156429058"/>
      <w:bookmarkStart w:id="142" w:name="_Toc152347408"/>
      <w:bookmarkStart w:id="143" w:name="_Toc148968216"/>
      <w:bookmarkStart w:id="144" w:name="_Toc156925280"/>
      <w:r>
        <w:rPr>
          <w:rFonts w:hint="default" w:ascii="Times New Roman" w:hAnsi="Times New Roman" w:eastAsia="方正楷体_GBK" w:cs="Times New Roman"/>
          <w:b w:val="0"/>
          <w:bCs w:val="0"/>
          <w:sz w:val="32"/>
          <w:szCs w:val="32"/>
        </w:rPr>
        <w:t>三是全市产业规模偏小、层次偏低。</w:t>
      </w:r>
      <w:r>
        <w:rPr>
          <w:rFonts w:hint="default" w:ascii="Times New Roman" w:hAnsi="Times New Roman" w:eastAsia="方正仿宋_GBK" w:cs="Times New Roman"/>
          <w:b w:val="0"/>
          <w:bCs w:val="0"/>
          <w:sz w:val="32"/>
          <w:szCs w:val="32"/>
        </w:rPr>
        <w:t>近年来，宿迁市经济和产业规模虽增长较快，但总量仍偏小，</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对港口的反哺带动作用仍相对</w:t>
      </w:r>
      <w:r>
        <w:rPr>
          <w:rFonts w:hint="default" w:ascii="Times New Roman" w:hAnsi="Times New Roman" w:eastAsia="方正仿宋_GBK" w:cs="Times New Roman"/>
          <w:b w:val="0"/>
          <w:bCs w:val="0"/>
          <w:color w:val="auto"/>
          <w:sz w:val="32"/>
          <w:szCs w:val="32"/>
        </w:rPr>
        <w:t>有限。202</w:t>
      </w:r>
      <w:r>
        <w:rPr>
          <w:rFonts w:hint="default"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rPr>
        <w:t>年，全市</w:t>
      </w:r>
      <w:r>
        <w:rPr>
          <w:rFonts w:hint="default" w:ascii="Times New Roman" w:hAnsi="Times New Roman" w:eastAsia="方正仿宋_GBK" w:cs="Times New Roman"/>
          <w:b w:val="0"/>
          <w:bCs w:val="0"/>
          <w:color w:val="auto"/>
          <w:sz w:val="32"/>
          <w:szCs w:val="32"/>
          <w:lang w:eastAsia="zh-CN"/>
        </w:rPr>
        <w:t>仅新能源产业产值超过千亿，其他产业产值离千亿尚有一定差距。</w:t>
      </w:r>
      <w:r>
        <w:rPr>
          <w:rFonts w:hint="default" w:ascii="Times New Roman" w:hAnsi="Times New Roman" w:eastAsia="方正仿宋_GBK" w:cs="Times New Roman"/>
          <w:b w:val="0"/>
          <w:bCs w:val="0"/>
          <w:color w:val="auto"/>
          <w:sz w:val="32"/>
          <w:szCs w:val="32"/>
        </w:rPr>
        <w:t>同时，主导产业仍以纺织服装、食品饮料、家居制造、绿色</w:t>
      </w:r>
      <w:r>
        <w:rPr>
          <w:rFonts w:hint="default" w:ascii="Times New Roman" w:hAnsi="Times New Roman" w:eastAsia="方正仿宋_GBK" w:cs="Times New Roman"/>
          <w:b w:val="0"/>
          <w:bCs w:val="0"/>
          <w:sz w:val="32"/>
          <w:szCs w:val="32"/>
        </w:rPr>
        <w:t>建材等传统产业为主，占规模工业比重达60%以上，高新</w:t>
      </w:r>
      <w:r>
        <w:rPr>
          <w:rFonts w:hint="default" w:ascii="Times New Roman" w:hAnsi="Times New Roman" w:eastAsia="方正仿宋_GBK" w:cs="Times New Roman"/>
          <w:b w:val="0"/>
          <w:bCs w:val="0"/>
          <w:color w:val="000000"/>
          <w:sz w:val="32"/>
          <w:szCs w:val="32"/>
        </w:rPr>
        <w:t>技术产业、战略性新兴产业发展偏慢。</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keepNext w:val="0"/>
        <w:keepLines w:val="0"/>
        <w:pageBreakBefore w:val="0"/>
        <w:widowControl w:val="0"/>
        <w:kinsoku/>
        <w:wordWrap/>
        <w:overflowPunct/>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b w:val="0"/>
          <w:bCs w:val="0"/>
          <w:sz w:val="32"/>
          <w:szCs w:val="32"/>
        </w:rPr>
      </w:pPr>
      <w:bookmarkStart w:id="145" w:name="_Toc156429393"/>
      <w:bookmarkStart w:id="146" w:name="_Toc156429257"/>
      <w:bookmarkStart w:id="147" w:name="_Toc149638744"/>
      <w:bookmarkStart w:id="148" w:name="_Toc148367431"/>
      <w:bookmarkStart w:id="149" w:name="_Toc150419768"/>
      <w:bookmarkStart w:id="150" w:name="_Toc156429059"/>
      <w:bookmarkStart w:id="151" w:name="_Toc156482277"/>
      <w:bookmarkStart w:id="152" w:name="_Toc149432811"/>
      <w:bookmarkStart w:id="153" w:name="_Toc157594505"/>
      <w:bookmarkStart w:id="154" w:name="_Toc152347409"/>
      <w:bookmarkStart w:id="155" w:name="_Toc148627528"/>
      <w:bookmarkStart w:id="156" w:name="_Toc148968217"/>
      <w:bookmarkStart w:id="157" w:name="_Toc156925281"/>
      <w:bookmarkStart w:id="158" w:name="_Toc159339951"/>
      <w:bookmarkStart w:id="159" w:name="_Toc150429002"/>
      <w:r>
        <w:rPr>
          <w:rFonts w:hint="default" w:ascii="Times New Roman" w:hAnsi="Times New Roman" w:eastAsia="方正楷体_GBK" w:cs="Times New Roman"/>
          <w:b w:val="0"/>
          <w:bCs w:val="0"/>
          <w:sz w:val="32"/>
          <w:szCs w:val="32"/>
        </w:rPr>
        <w:t>四是港产互动</w:t>
      </w:r>
      <w:r>
        <w:rPr>
          <w:rFonts w:hint="default" w:ascii="Times New Roman" w:hAnsi="Times New Roman" w:eastAsia="方正楷体_GBK" w:cs="Times New Roman"/>
          <w:b w:val="0"/>
          <w:bCs w:val="0"/>
          <w:sz w:val="32"/>
          <w:szCs w:val="36"/>
        </w:rPr>
        <w:t>深度不够，未能充分发挥港口优势。</w:t>
      </w:r>
      <w:r>
        <w:rPr>
          <w:rFonts w:hint="default" w:ascii="Times New Roman" w:hAnsi="Times New Roman" w:eastAsia="方正仿宋_GBK" w:cs="Times New Roman"/>
          <w:b w:val="0"/>
          <w:bCs w:val="0"/>
          <w:sz w:val="32"/>
          <w:szCs w:val="32"/>
        </w:rPr>
        <w:t>港口与临港产业的协同度不高。一方面，宿迁港运输的货物结构较为单一，煤炭及矿建材料吞吐量占比较高，件杂货及机械等工业产品吞吐量占比较低，全市重点发展的产业与港口的货物结构之间的</w:t>
      </w:r>
      <w:r>
        <w:rPr>
          <w:rFonts w:hint="default" w:ascii="Times New Roman" w:hAnsi="Times New Roman" w:eastAsia="方正仿宋_GBK" w:cs="Times New Roman"/>
          <w:b w:val="0"/>
          <w:bCs w:val="0"/>
          <w:sz w:val="32"/>
          <w:szCs w:val="32"/>
          <w:lang w:eastAsia="zh-CN"/>
        </w:rPr>
        <w:t>契合度</w:t>
      </w:r>
      <w:r>
        <w:rPr>
          <w:rFonts w:hint="default" w:ascii="Times New Roman" w:hAnsi="Times New Roman" w:eastAsia="方正仿宋_GBK" w:cs="Times New Roman"/>
          <w:b w:val="0"/>
          <w:bCs w:val="0"/>
          <w:sz w:val="32"/>
          <w:szCs w:val="32"/>
        </w:rPr>
        <w:t>和紧密度还不够高。另一方面，相对于开发较早的港口城市，宿迁临港产业发展起步较晚，现有技术和开发水平还不高，带动港口周边区域关联产业发展的能力还不强，规模化、成片化的临港产业集群较少。</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keepNext w:val="0"/>
        <w:keepLines w:val="0"/>
        <w:pageBreakBefore w:val="0"/>
        <w:widowControl w:val="0"/>
        <w:kinsoku/>
        <w:wordWrap/>
        <w:overflowPunct/>
        <w:topLinePunct/>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b w:val="0"/>
          <w:bCs w:val="0"/>
          <w:sz w:val="32"/>
          <w:szCs w:val="36"/>
        </w:rPr>
      </w:pPr>
      <w:bookmarkStart w:id="160" w:name="_Toc148627529"/>
      <w:bookmarkStart w:id="161" w:name="_Toc148367432"/>
      <w:bookmarkStart w:id="162" w:name="_Toc152347410"/>
      <w:bookmarkStart w:id="163" w:name="_Toc159339952"/>
      <w:bookmarkStart w:id="164" w:name="_Toc149432812"/>
      <w:bookmarkStart w:id="165" w:name="_Toc156429060"/>
      <w:bookmarkStart w:id="166" w:name="_Toc150419769"/>
      <w:bookmarkStart w:id="167" w:name="_Toc156925282"/>
      <w:bookmarkStart w:id="168" w:name="_Toc148968218"/>
      <w:bookmarkStart w:id="169" w:name="_Toc150429003"/>
      <w:bookmarkStart w:id="170" w:name="_Toc157594506"/>
      <w:bookmarkStart w:id="171" w:name="_Toc156429394"/>
      <w:bookmarkStart w:id="172" w:name="_Toc156429258"/>
      <w:bookmarkStart w:id="173" w:name="_Toc149638745"/>
      <w:bookmarkStart w:id="174" w:name="_Toc156482278"/>
      <w:r>
        <w:rPr>
          <w:rFonts w:hint="default" w:ascii="Times New Roman" w:hAnsi="Times New Roman" w:eastAsia="方正楷体_GBK" w:cs="Times New Roman"/>
          <w:b w:val="0"/>
          <w:bCs w:val="0"/>
          <w:sz w:val="32"/>
          <w:szCs w:val="32"/>
        </w:rPr>
        <w:t>五</w:t>
      </w:r>
      <w:r>
        <w:rPr>
          <w:rFonts w:hint="default" w:ascii="Times New Roman" w:hAnsi="Times New Roman" w:eastAsia="方正楷体_GBK" w:cs="Times New Roman"/>
          <w:b w:val="0"/>
          <w:bCs w:val="0"/>
          <w:sz w:val="32"/>
          <w:szCs w:val="36"/>
        </w:rPr>
        <w:t>是高端航运服务业发展相对滞后</w:t>
      </w:r>
      <w:r>
        <w:rPr>
          <w:rFonts w:hint="default" w:ascii="Times New Roman" w:hAnsi="Times New Roman" w:eastAsia="方正仿宋_GBK" w:cs="Times New Roman"/>
          <w:b w:val="0"/>
          <w:bCs w:val="0"/>
          <w:sz w:val="32"/>
          <w:szCs w:val="36"/>
        </w:rPr>
        <w:t>。与宁波、上海、苏州等先进的港口城市相比，宿迁目前的航运服务业仍处于起步阶段，现代化物流配送、金融保险、电子信息、贸易资讯、</w:t>
      </w:r>
      <w:r>
        <w:rPr>
          <w:rFonts w:hint="default" w:ascii="Times New Roman" w:hAnsi="Times New Roman" w:eastAsia="方正仿宋_GBK" w:cs="Times New Roman"/>
          <w:b w:val="0"/>
          <w:bCs w:val="0"/>
          <w:sz w:val="32"/>
          <w:szCs w:val="32"/>
        </w:rPr>
        <w:t>航运结算等</w:t>
      </w:r>
      <w:r>
        <w:rPr>
          <w:rFonts w:hint="default" w:ascii="Times New Roman" w:hAnsi="Times New Roman" w:eastAsia="方正仿宋_GBK" w:cs="Times New Roman"/>
          <w:b w:val="0"/>
          <w:bCs w:val="0"/>
          <w:sz w:val="32"/>
          <w:szCs w:val="36"/>
        </w:rPr>
        <w:t>为港口作业提供高附加值的港航服务业</w:t>
      </w:r>
      <w:r>
        <w:rPr>
          <w:rFonts w:hint="default" w:ascii="Times New Roman" w:hAnsi="Times New Roman" w:eastAsia="方正仿宋_GBK" w:cs="Times New Roman"/>
          <w:b w:val="0"/>
          <w:bCs w:val="0"/>
          <w:sz w:val="32"/>
          <w:szCs w:val="32"/>
        </w:rPr>
        <w:t>相对缺失</w:t>
      </w:r>
      <w:r>
        <w:rPr>
          <w:rFonts w:hint="default" w:ascii="Times New Roman" w:hAnsi="Times New Roman" w:eastAsia="方正仿宋_GBK" w:cs="Times New Roman"/>
          <w:b w:val="0"/>
          <w:bCs w:val="0"/>
          <w:sz w:val="32"/>
          <w:szCs w:val="36"/>
        </w:rPr>
        <w:t>，制约了港口与临港产业的创新发展。</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keepNext w:val="0"/>
        <w:keepLines w:val="0"/>
        <w:pageBreakBefore w:val="0"/>
        <w:widowControl w:val="0"/>
        <w:kinsoku/>
        <w:wordWrap/>
        <w:overflowPunct/>
        <w:topLinePunct/>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b w:val="0"/>
          <w:bCs w:val="0"/>
          <w:sz w:val="32"/>
          <w:szCs w:val="32"/>
        </w:rPr>
      </w:pPr>
      <w:bookmarkStart w:id="175" w:name="_Toc150419770"/>
      <w:bookmarkStart w:id="176" w:name="_Toc149638746"/>
      <w:bookmarkStart w:id="177" w:name="_Toc159339953"/>
      <w:bookmarkStart w:id="178" w:name="_Toc152347411"/>
      <w:bookmarkStart w:id="179" w:name="_Toc149432813"/>
      <w:bookmarkStart w:id="180" w:name="_Toc148627530"/>
      <w:bookmarkStart w:id="181" w:name="_Toc156482279"/>
      <w:bookmarkStart w:id="182" w:name="_Toc156429259"/>
      <w:bookmarkStart w:id="183" w:name="_Toc148367433"/>
      <w:bookmarkStart w:id="184" w:name="_Toc148968219"/>
      <w:bookmarkStart w:id="185" w:name="_Toc156925283"/>
      <w:bookmarkStart w:id="186" w:name="_Toc156429061"/>
      <w:bookmarkStart w:id="187" w:name="_Toc150429004"/>
      <w:bookmarkStart w:id="188" w:name="_Toc157594507"/>
      <w:bookmarkStart w:id="189" w:name="_Toc156429395"/>
      <w:r>
        <w:rPr>
          <w:rFonts w:hint="default" w:ascii="Times New Roman" w:hAnsi="Times New Roman" w:eastAsia="方正楷体_GBK" w:cs="Times New Roman"/>
          <w:b w:val="0"/>
          <w:bCs w:val="0"/>
          <w:sz w:val="32"/>
          <w:szCs w:val="36"/>
        </w:rPr>
        <w:t>六</w:t>
      </w:r>
      <w:r>
        <w:rPr>
          <w:rFonts w:hint="default" w:ascii="Times New Roman" w:hAnsi="Times New Roman" w:eastAsia="方正楷体_GBK" w:cs="Times New Roman"/>
          <w:b w:val="0"/>
          <w:bCs w:val="0"/>
          <w:sz w:val="32"/>
          <w:szCs w:val="32"/>
        </w:rPr>
        <w:t>是港口物流体系还不够完善。</w:t>
      </w:r>
      <w:r>
        <w:rPr>
          <w:rFonts w:hint="default" w:ascii="Times New Roman" w:hAnsi="Times New Roman" w:eastAsia="方正仿宋_GBK" w:cs="Times New Roman"/>
          <w:b w:val="0"/>
          <w:bCs w:val="0"/>
          <w:sz w:val="32"/>
          <w:szCs w:val="32"/>
        </w:rPr>
        <w:t>目前，全市物流企业普遍存在信息化、标准化、集约化程度低</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科技水平不高等问题，缺少核心竞争力，部分有实力的物流企业社会化服务能力有待释放。公、铁、水之间的衔接缺乏必要的基础设施和联运主体，暂无投入使用的疏港铁路，部分疏港公路也存在路况不良、衔接不畅等问题，难以满足港口集疏运需求，“最后一公里”还未完全打通。</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keepNext w:val="0"/>
        <w:keepLines w:val="0"/>
        <w:pageBreakBefore w:val="0"/>
        <w:widowControl w:val="0"/>
        <w:kinsoku/>
        <w:wordWrap/>
        <w:overflowPunct/>
        <w:autoSpaceDE/>
        <w:autoSpaceDN/>
        <w:bidi w:val="0"/>
        <w:adjustRightInd/>
        <w:snapToGrid/>
        <w:spacing w:line="530" w:lineRule="exact"/>
        <w:ind w:firstLine="640" w:firstLineChars="200"/>
        <w:textAlignment w:val="auto"/>
        <w:outlineLvl w:val="0"/>
        <w:rPr>
          <w:rFonts w:hint="default" w:ascii="Times New Roman" w:hAnsi="Times New Roman" w:eastAsia="方正黑体_GBK" w:cs="Times New Roman"/>
          <w:b w:val="0"/>
          <w:bCs w:val="0"/>
          <w:sz w:val="32"/>
          <w:szCs w:val="32"/>
        </w:rPr>
      </w:pPr>
      <w:bookmarkStart w:id="190" w:name="_Toc6986"/>
      <w:r>
        <w:rPr>
          <w:rFonts w:hint="default" w:ascii="Times New Roman" w:hAnsi="Times New Roman" w:eastAsia="方正黑体_GBK" w:cs="Times New Roman"/>
          <w:b w:val="0"/>
          <w:bCs w:val="0"/>
          <w:sz w:val="32"/>
          <w:szCs w:val="32"/>
        </w:rPr>
        <w:t>二、面临形势</w:t>
      </w:r>
      <w:bookmarkEnd w:id="190"/>
    </w:p>
    <w:p>
      <w:pPr>
        <w:keepNext w:val="0"/>
        <w:keepLines w:val="0"/>
        <w:pageBreakBefore w:val="0"/>
        <w:widowControl w:val="0"/>
        <w:kinsoku/>
        <w:wordWrap/>
        <w:overflowPunct/>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未来，宿迁港航发展既有国家战略、产业政策、技术变革、港产城融合等带来的机遇，同时周边港口竞争压力和产业高端发展需求等也为宿迁港航提出了更高要求。</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仿宋_GBK" w:cs="Times New Roman"/>
          <w:b w:val="0"/>
          <w:bCs w:val="0"/>
          <w:sz w:val="32"/>
          <w:szCs w:val="32"/>
          <w:lang w:val="en-US" w:eastAsia="zh-CN"/>
        </w:rPr>
      </w:pPr>
      <w:bookmarkStart w:id="191" w:name="_Toc5886"/>
      <w:r>
        <w:rPr>
          <w:rFonts w:hint="default" w:ascii="Times New Roman" w:hAnsi="Times New Roman" w:eastAsia="方正楷体_GBK" w:cs="Times New Roman"/>
          <w:b w:val="0"/>
          <w:bCs w:val="0"/>
          <w:sz w:val="32"/>
          <w:szCs w:val="32"/>
          <w:lang w:eastAsia="zh-CN"/>
        </w:rPr>
        <w:t>（一）</w:t>
      </w:r>
      <w:r>
        <w:rPr>
          <w:rFonts w:hint="default" w:ascii="Times New Roman" w:hAnsi="Times New Roman" w:eastAsia="方正楷体_GBK" w:cs="Times New Roman"/>
          <w:b w:val="0"/>
          <w:bCs w:val="0"/>
          <w:sz w:val="32"/>
          <w:szCs w:val="32"/>
        </w:rPr>
        <w:t>国家和省重大战略叠加，为宿迁港航发展提供了重大机遇</w:t>
      </w:r>
      <w:bookmarkEnd w:id="191"/>
      <w:r>
        <w:rPr>
          <w:rFonts w:hint="eastAsia" w:ascii="Times New Roman" w:hAnsi="Times New Roman" w:eastAsia="方正楷体_GBK" w:cs="Times New Roman"/>
          <w:b w:val="0"/>
          <w:bCs w:val="0"/>
          <w:sz w:val="32"/>
          <w:szCs w:val="32"/>
          <w:lang w:eastAsia="zh-CN"/>
        </w:rPr>
        <w:t>。</w:t>
      </w:r>
      <w:r>
        <w:rPr>
          <w:rFonts w:hint="default" w:ascii="Times New Roman" w:hAnsi="Times New Roman" w:eastAsia="方正仿宋_GBK" w:cs="Times New Roman"/>
          <w:b w:val="0"/>
          <w:bCs w:val="0"/>
          <w:sz w:val="32"/>
          <w:szCs w:val="32"/>
        </w:rPr>
        <w:t>近年来，国家和江苏省相继出台了一系列加快内河航运和港口发展的政策文件，为宿迁港口发展提供了重要的政策机遇。从国家层面看，交通强国、“一带一路”、长江经济带、长三角区域一体化、淮河生态经济带等多重国家战略在宿迁叠加交汇，有利于宿迁充分发挥自身内河港航内引外联功能以及内河港口枢纽和节点作用，进一步强化与内陆及沿海地区的高效衔接，在更大范围内推动产业融入升级、拓展城市发展空间、加速资源要素集聚。从省级层面看，江苏多措并举，积极推动港口强省建设。2023年出台《关于加快打造更具特色的“水运江苏”的意见》，明确提出加快宿迁港等内河港口规模化建设、促进宿迁打造淮河水运中心等具体任务，为宿迁港口发展指明了方向。这些国家和省重大战略的叠加融合，为宿迁提升港口能级、发挥内河资源禀赋优势、畅通优质资源要素区域流动、实现新一轮大发展提供了重大机遇。</w:t>
      </w:r>
      <w:r>
        <w:rPr>
          <w:rFonts w:hint="default" w:ascii="Times New Roman" w:hAnsi="Times New Roman" w:eastAsia="方正仿宋_GBK" w:cs="Times New Roman"/>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仿宋_GBK" w:cs="Times New Roman"/>
          <w:b w:val="0"/>
          <w:bCs w:val="0"/>
          <w:sz w:val="32"/>
          <w:szCs w:val="32"/>
        </w:rPr>
      </w:pPr>
      <w:bookmarkStart w:id="192" w:name="_Toc9867"/>
      <w:r>
        <w:rPr>
          <w:rFonts w:hint="default" w:ascii="Times New Roman" w:hAnsi="Times New Roman" w:eastAsia="方正楷体_GBK" w:cs="Times New Roman"/>
          <w:b w:val="0"/>
          <w:bCs w:val="0"/>
          <w:sz w:val="32"/>
          <w:szCs w:val="32"/>
          <w:lang w:val="en-US" w:eastAsia="zh-CN"/>
        </w:rPr>
        <w:t>（二）</w:t>
      </w:r>
      <w:r>
        <w:rPr>
          <w:rFonts w:hint="default" w:ascii="Times New Roman" w:hAnsi="Times New Roman" w:eastAsia="方正楷体_GBK" w:cs="Times New Roman"/>
          <w:b w:val="0"/>
          <w:bCs w:val="0"/>
          <w:sz w:val="32"/>
          <w:szCs w:val="32"/>
        </w:rPr>
        <w:t>新一轮技术革命蓬勃兴起，为宿迁建设智慧港口提供了机遇</w:t>
      </w:r>
      <w:bookmarkEnd w:id="192"/>
      <w:r>
        <w:rPr>
          <w:rFonts w:hint="eastAsia" w:ascii="Times New Roman" w:hAnsi="Times New Roman" w:eastAsia="方正楷体_GBK" w:cs="Times New Roman"/>
          <w:b w:val="0"/>
          <w:bCs w:val="0"/>
          <w:sz w:val="32"/>
          <w:szCs w:val="32"/>
          <w:lang w:eastAsia="zh-CN"/>
        </w:rPr>
        <w:t>。</w:t>
      </w:r>
      <w:r>
        <w:rPr>
          <w:rFonts w:hint="default" w:ascii="Times New Roman" w:hAnsi="Times New Roman" w:eastAsia="方正仿宋_GBK" w:cs="Times New Roman"/>
          <w:b w:val="0"/>
          <w:bCs w:val="0"/>
          <w:sz w:val="32"/>
          <w:szCs w:val="32"/>
        </w:rPr>
        <w:t>当前，北斗导航、人工智能、5G、大数据、区块链等高新技术兴起，带来航运产业链、供应链、价值链的延伸和重塑，将对港航基础设施、运输装备、运输组织模式、治理模式等产生重大影响，也为港口转型发展提供了重要的机遇。2018年，宁波港建成了全国首个5G港口基站</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2019年，舟山港实现5G+龙门吊远程控制等创新应用试验</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随着大型设备逐步远程化、智能化作业，舟山港的自动化率已接近五成，整条作业链的运作效率提升了15%以上。上海港、厦门港、深圳港等港口在作业自动化、信息互联共享等方面也取得一系列创新成果，运输效率大大提升。在此形势下，宿迁应积极抢抓新一轮技术革命和产业变革的机遇，推动大数据、互联网、人工智能、区块链等新技术与航运各要素深度融合，建设一批数字港口、数字航道，实现港口航运智慧转型，提升运输效率、降低运输成本。</w:t>
      </w:r>
    </w:p>
    <w:p>
      <w:pPr>
        <w:keepNext w:val="0"/>
        <w:keepLines w:val="0"/>
        <w:pageBreakBefore w:val="0"/>
        <w:widowControl w:val="0"/>
        <w:numPr>
          <w:ilvl w:val="0"/>
          <w:numId w:val="0"/>
        </w:numPr>
        <w:kinsoku/>
        <w:wordWrap/>
        <w:overflowPunct/>
        <w:autoSpaceDE/>
        <w:autoSpaceDN/>
        <w:bidi w:val="0"/>
        <w:adjustRightInd/>
        <w:snapToGrid/>
        <w:spacing w:line="530" w:lineRule="exact"/>
        <w:ind w:firstLine="640" w:firstLineChars="200"/>
        <w:textAlignment w:val="auto"/>
        <w:outlineLvl w:val="1"/>
        <w:rPr>
          <w:rFonts w:hint="default" w:ascii="Times New Roman" w:hAnsi="Times New Roman" w:eastAsia="方正仿宋_GBK" w:cs="Times New Roman"/>
          <w:b w:val="0"/>
          <w:bCs w:val="0"/>
          <w:sz w:val="32"/>
          <w:szCs w:val="32"/>
        </w:rPr>
      </w:pPr>
      <w:bookmarkStart w:id="193" w:name="_Toc32214"/>
      <w:r>
        <w:rPr>
          <w:rFonts w:hint="default" w:ascii="Times New Roman" w:hAnsi="Times New Roman" w:eastAsia="方正楷体_GBK" w:cs="Times New Roman"/>
          <w:b w:val="0"/>
          <w:bCs w:val="0"/>
          <w:sz w:val="32"/>
          <w:szCs w:val="32"/>
          <w:lang w:eastAsia="zh-CN"/>
        </w:rPr>
        <w:t>（三）</w:t>
      </w:r>
      <w:r>
        <w:rPr>
          <w:rFonts w:hint="default" w:ascii="Times New Roman" w:hAnsi="Times New Roman" w:eastAsia="方正楷体_GBK" w:cs="Times New Roman"/>
          <w:b w:val="0"/>
          <w:bCs w:val="0"/>
          <w:sz w:val="32"/>
          <w:szCs w:val="32"/>
        </w:rPr>
        <w:t>港产城融合发展大势所趋，为宿迁港航未来发展指明了方向</w:t>
      </w:r>
      <w:bookmarkEnd w:id="193"/>
      <w:r>
        <w:rPr>
          <w:rFonts w:hint="eastAsia" w:ascii="Times New Roman" w:hAnsi="Times New Roman" w:eastAsia="方正楷体_GBK" w:cs="Times New Roman"/>
          <w:b w:val="0"/>
          <w:bCs w:val="0"/>
          <w:sz w:val="32"/>
          <w:szCs w:val="32"/>
          <w:lang w:eastAsia="zh-CN"/>
        </w:rPr>
        <w:t>。</w:t>
      </w:r>
      <w:r>
        <w:rPr>
          <w:rFonts w:hint="default" w:ascii="Times New Roman" w:hAnsi="Times New Roman" w:eastAsia="方正仿宋_GBK" w:cs="Times New Roman"/>
          <w:b w:val="0"/>
          <w:bCs w:val="0"/>
          <w:sz w:val="32"/>
          <w:szCs w:val="32"/>
        </w:rPr>
        <w:t>港口是基础性、枢纽性设施，是港口城市经济发展的核心载体和重要支撑。全球国际化大都市中绝大多数为港口城市，我国城市GDP排名前20位中港口城市占据80%，香港、上海也是公认的国际金融中心、国际航运中心和世界级港口城市。“以港促产、以产兴城、港城共荣”是全球港口城市发展演变的普遍规律，港产城融合发展是大势所趋。港口提供原材料和产品物流等服务，促进临港产业发展，继而带动以港航服务业为主导的现代服务业，实现产业升级和产业链延伸。临港产业的发展，又给城市的支撑服务功能提出更高要求，如为生产者提供良好的基础设施配套和医疗、教育等公共服务。这些功能的完善增加了港口城市对人流、物流、资金流、信息流的吸引力，反过来推动产业集聚、拓展港口功能，从而形成港产城三者的良性循环与发展合力。宿迁应积极顺应港产</w:t>
      </w:r>
      <w:r>
        <w:rPr>
          <w:rFonts w:hint="default" w:ascii="Times New Roman" w:hAnsi="Times New Roman" w:eastAsia="方正仿宋_GBK" w:cs="Times New Roman"/>
          <w:b w:val="0"/>
          <w:bCs w:val="0"/>
          <w:sz w:val="32"/>
          <w:szCs w:val="32"/>
          <w:lang w:eastAsia="zh-CN"/>
        </w:rPr>
        <w:t>城</w:t>
      </w:r>
      <w:r>
        <w:rPr>
          <w:rFonts w:hint="default" w:ascii="Times New Roman" w:hAnsi="Times New Roman" w:eastAsia="方正仿宋_GBK" w:cs="Times New Roman"/>
          <w:b w:val="0"/>
          <w:bCs w:val="0"/>
          <w:sz w:val="32"/>
          <w:szCs w:val="32"/>
        </w:rPr>
        <w:t>融合的发展趋势，加快推动临港产业布局，完善港口经济产业生态、优化资源要素配置，实现港口、产业、城市相互联系、协调互动、有机结合、共同发展。</w:t>
      </w:r>
    </w:p>
    <w:p>
      <w:pPr>
        <w:keepNext w:val="0"/>
        <w:keepLines w:val="0"/>
        <w:pageBreakBefore w:val="0"/>
        <w:widowControl w:val="0"/>
        <w:numPr>
          <w:ilvl w:val="0"/>
          <w:numId w:val="0"/>
        </w:numPr>
        <w:kinsoku/>
        <w:wordWrap/>
        <w:overflowPunct/>
        <w:autoSpaceDE/>
        <w:autoSpaceDN/>
        <w:bidi w:val="0"/>
        <w:adjustRightInd/>
        <w:snapToGrid/>
        <w:spacing w:line="530" w:lineRule="exact"/>
        <w:ind w:firstLine="616" w:firstLineChars="200"/>
        <w:textAlignment w:val="auto"/>
        <w:outlineLvl w:val="1"/>
        <w:rPr>
          <w:rFonts w:hint="default" w:ascii="Times New Roman" w:hAnsi="Times New Roman" w:eastAsia="方正仿宋_GBK" w:cs="Times New Roman"/>
          <w:b w:val="0"/>
          <w:bCs w:val="0"/>
          <w:spacing w:val="-6"/>
          <w:sz w:val="32"/>
          <w:szCs w:val="32"/>
        </w:rPr>
      </w:pPr>
      <w:bookmarkStart w:id="194" w:name="_Toc31829"/>
      <w:r>
        <w:rPr>
          <w:rFonts w:hint="default" w:ascii="Times New Roman" w:hAnsi="Times New Roman" w:eastAsia="方正楷体_GBK" w:cs="Times New Roman"/>
          <w:b w:val="0"/>
          <w:bCs w:val="0"/>
          <w:spacing w:val="-6"/>
          <w:sz w:val="32"/>
          <w:szCs w:val="32"/>
          <w:lang w:eastAsia="zh-CN"/>
        </w:rPr>
        <w:t>（四）</w:t>
      </w:r>
      <w:r>
        <w:rPr>
          <w:rFonts w:hint="default" w:ascii="Times New Roman" w:hAnsi="Times New Roman" w:eastAsia="方正楷体_GBK" w:cs="Times New Roman"/>
          <w:b w:val="0"/>
          <w:bCs w:val="0"/>
          <w:spacing w:val="-6"/>
          <w:sz w:val="32"/>
          <w:szCs w:val="32"/>
        </w:rPr>
        <w:t>周边邻近港口竞争加剧，对宿迁港协作联动提出更高要求</w:t>
      </w:r>
      <w:bookmarkEnd w:id="194"/>
      <w:r>
        <w:rPr>
          <w:rFonts w:hint="eastAsia" w:ascii="Times New Roman" w:hAnsi="Times New Roman" w:eastAsia="方正楷体_GBK"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随着“一带一路”的有序推进，我国港口航运发展呈现百花齐放的态势，但是港口间密集</w:t>
      </w:r>
      <w:r>
        <w:rPr>
          <w:rFonts w:hint="eastAsia" w:ascii="Times New Roman" w:hAnsi="Times New Roman" w:eastAsia="方正仿宋_GBK"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服务趋同将导致过度竞争，不利于港口的长远发展。特别是邻近区域内，由于腹地交叉、功能类似、业务同质化等因素影响，相近港口之间竞争加剧，对港口资源优化配置造成不利影响。为避免同质化竞争，可通过港口资源整合、明确港口分工等方式优化资源配置。目前，在港口的竞争合作上已有多个成功案例，如宁波舟山港，原先分别属于宁波市和舟山市，2006年正式合并形成组合港，通过合理分工，实现了优势互补，避免了无序竞争，提升了港口群的整体竞争力，宁波舟山港现已成为世界前三的深水良港。在此背景下，宿迁应主动加强与周边连云港、淮安、徐州等港口的合作，探索海港、陆港、空港、河港“四港”高效联动路径，充分发挥宿迁内河水运特色，联动徐州陆港中欧班列、淮安空港全货机航线、连云港海港国际海运等优质资源，增加区域内合作，更好促进区域协调联动发展。</w:t>
      </w:r>
    </w:p>
    <w:p>
      <w:pPr>
        <w:keepNext w:val="0"/>
        <w:keepLines w:val="0"/>
        <w:pageBreakBefore w:val="0"/>
        <w:widowControl w:val="0"/>
        <w:numPr>
          <w:ilvl w:val="0"/>
          <w:numId w:val="0"/>
        </w:numPr>
        <w:kinsoku/>
        <w:wordWrap/>
        <w:overflowPunct/>
        <w:autoSpaceDE/>
        <w:autoSpaceDN/>
        <w:bidi w:val="0"/>
        <w:adjustRightInd/>
        <w:snapToGrid/>
        <w:spacing w:line="530" w:lineRule="exact"/>
        <w:ind w:firstLine="640" w:firstLineChars="200"/>
        <w:textAlignment w:val="auto"/>
        <w:outlineLvl w:val="1"/>
        <w:rPr>
          <w:rFonts w:hint="default" w:ascii="Times New Roman" w:hAnsi="Times New Roman" w:eastAsia="方正仿宋_GBK" w:cs="Times New Roman"/>
          <w:b w:val="0"/>
          <w:bCs w:val="0"/>
          <w:sz w:val="32"/>
          <w:szCs w:val="32"/>
        </w:rPr>
      </w:pPr>
      <w:bookmarkStart w:id="195" w:name="_Toc28965"/>
      <w:r>
        <w:rPr>
          <w:rFonts w:hint="default" w:ascii="Times New Roman" w:hAnsi="Times New Roman" w:eastAsia="方正楷体_GBK" w:cs="Times New Roman"/>
          <w:b w:val="0"/>
          <w:bCs w:val="0"/>
          <w:sz w:val="32"/>
          <w:szCs w:val="32"/>
          <w:lang w:eastAsia="zh-CN"/>
        </w:rPr>
        <w:t>（五）</w:t>
      </w:r>
      <w:r>
        <w:rPr>
          <w:rFonts w:hint="default" w:ascii="Times New Roman" w:hAnsi="Times New Roman" w:eastAsia="方正楷体_GBK" w:cs="Times New Roman"/>
          <w:b w:val="0"/>
          <w:bCs w:val="0"/>
          <w:sz w:val="32"/>
          <w:szCs w:val="32"/>
        </w:rPr>
        <w:t>产业高端化发展加速，对港航服务支撑能力提出更高要求</w:t>
      </w:r>
      <w:bookmarkEnd w:id="195"/>
      <w:r>
        <w:rPr>
          <w:rFonts w:hint="eastAsia" w:ascii="Times New Roman" w:hAnsi="Times New Roman" w:eastAsia="方正楷体_GBK" w:cs="Times New Roman"/>
          <w:b w:val="0"/>
          <w:bCs w:val="0"/>
          <w:sz w:val="32"/>
          <w:szCs w:val="32"/>
          <w:lang w:eastAsia="zh-CN"/>
        </w:rPr>
        <w:t>。</w:t>
      </w:r>
      <w:r>
        <w:rPr>
          <w:rFonts w:hint="default" w:ascii="Times New Roman" w:hAnsi="Times New Roman" w:eastAsia="方正仿宋_GBK" w:cs="Times New Roman"/>
          <w:b w:val="0"/>
          <w:bCs w:val="0"/>
          <w:sz w:val="32"/>
          <w:szCs w:val="32"/>
        </w:rPr>
        <w:t>一方面</w:t>
      </w:r>
      <w:r>
        <w:rPr>
          <w:rFonts w:hint="default" w:ascii="Times New Roman" w:hAnsi="Times New Roman" w:eastAsia="方正仿宋_GBK" w:cs="Times New Roman"/>
          <w:b w:val="0"/>
          <w:bCs w:val="0"/>
          <w:i w:val="0"/>
          <w:iCs w:val="0"/>
          <w:sz w:val="32"/>
          <w:szCs w:val="32"/>
        </w:rPr>
        <w:t>，</w:t>
      </w:r>
      <w:r>
        <w:rPr>
          <w:rFonts w:hint="default" w:ascii="Times New Roman" w:hAnsi="Times New Roman" w:eastAsia="方正仿宋_GBK" w:cs="Times New Roman"/>
          <w:b w:val="0"/>
          <w:bCs w:val="0"/>
          <w:sz w:val="32"/>
          <w:szCs w:val="32"/>
        </w:rPr>
        <w:t>随着区域经济一体化进程的加快，大量的重化工业开始向苏中、苏北地区转移。作为苏北的中心位置，宿迁是产业转移的重点城市之一，随着产业结构的调整，外向经济和重工业将加快发展，对港口的依赖性也将随着产业结构的调整而越来越强。另一方面，经过多年的发展，宿迁市千亿级产业培育计划扎实推进，恒力时尚产业园、国望高科、桐昆等一批百亿级重大项目引建取得重大进展，未来一段时期宿迁市经济将继续保持快速协调健康发展，重点培育的装备制造、新能源、新材料、生物医药、电子信息制造业、食品饮料、木材深加工等重大产业必将带动运输需求，能源、原材料及产成品等货物运输量将有较大幅度的增长。在此形势下，宿迁想要更好地融入和服务全省、全国发展大局，就必须要推动港口与经济产业发展相适应，延伸港口服务链条，创新业务模式，拓展港口综合服务功能，打造更全功能、更具价值、更有活力港航服务体系。</w:t>
      </w:r>
    </w:p>
    <w:p>
      <w:pPr>
        <w:keepNext w:val="0"/>
        <w:keepLines w:val="0"/>
        <w:pageBreakBefore w:val="0"/>
        <w:widowControl w:val="0"/>
        <w:kinsoku/>
        <w:wordWrap/>
        <w:overflowPunct/>
        <w:autoSpaceDE/>
        <w:autoSpaceDN/>
        <w:bidi w:val="0"/>
        <w:adjustRightInd/>
        <w:snapToGrid/>
        <w:spacing w:line="530" w:lineRule="exact"/>
        <w:ind w:firstLine="640" w:firstLineChars="200"/>
        <w:textAlignment w:val="auto"/>
        <w:outlineLvl w:val="0"/>
        <w:rPr>
          <w:rFonts w:hint="default" w:ascii="Times New Roman" w:hAnsi="Times New Roman" w:eastAsia="方正黑体_GBK" w:cs="Times New Roman"/>
          <w:b w:val="0"/>
          <w:bCs w:val="0"/>
          <w:sz w:val="32"/>
          <w:szCs w:val="32"/>
        </w:rPr>
      </w:pPr>
      <w:bookmarkStart w:id="196" w:name="_Toc2427"/>
      <w:r>
        <w:rPr>
          <w:rFonts w:hint="default" w:ascii="Times New Roman" w:hAnsi="Times New Roman" w:eastAsia="方正黑体_GBK" w:cs="Times New Roman"/>
          <w:b w:val="0"/>
          <w:bCs w:val="0"/>
          <w:sz w:val="32"/>
          <w:szCs w:val="32"/>
        </w:rPr>
        <w:t>三、总体要求</w:t>
      </w:r>
      <w:bookmarkEnd w:id="196"/>
    </w:p>
    <w:p>
      <w:pPr>
        <w:keepNext w:val="0"/>
        <w:keepLines w:val="0"/>
        <w:pageBreakBefore w:val="0"/>
        <w:widowControl w:val="0"/>
        <w:kinsoku/>
        <w:wordWrap/>
        <w:overflowPunct/>
        <w:autoSpaceDE/>
        <w:autoSpaceDN/>
        <w:bidi w:val="0"/>
        <w:adjustRightInd/>
        <w:snapToGrid/>
        <w:spacing w:line="530"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197" w:name="_Toc17687"/>
      <w:r>
        <w:rPr>
          <w:rFonts w:hint="default" w:ascii="Times New Roman" w:hAnsi="Times New Roman" w:eastAsia="方正楷体_GBK" w:cs="Times New Roman"/>
          <w:b w:val="0"/>
          <w:bCs w:val="0"/>
          <w:sz w:val="32"/>
          <w:szCs w:val="32"/>
        </w:rPr>
        <w:t>（一）指导思想</w:t>
      </w:r>
      <w:bookmarkEnd w:id="197"/>
    </w:p>
    <w:p>
      <w:pPr>
        <w:keepNext w:val="0"/>
        <w:keepLines w:val="0"/>
        <w:pageBreakBefore w:val="0"/>
        <w:widowControl w:val="0"/>
        <w:kinsoku/>
        <w:wordWrap/>
        <w:overflowPunct/>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以习近平新时代中国特色社会主义思想为指导，深入贯彻落实党的二十大精神，全面落实习近平总书记关于交通运输、水运发展的重要论述和</w:t>
      </w:r>
      <w:r>
        <w:rPr>
          <w:rFonts w:hint="eastAsia" w:ascii="Times New Roman" w:hAnsi="Times New Roman" w:eastAsia="方正仿宋_GBK" w:cs="Times New Roman"/>
          <w:b w:val="0"/>
          <w:bCs w:val="0"/>
          <w:sz w:val="32"/>
          <w:szCs w:val="32"/>
          <w:lang w:eastAsia="zh-CN"/>
        </w:rPr>
        <w:t>视察江苏</w:t>
      </w:r>
      <w:r>
        <w:rPr>
          <w:rFonts w:hint="default" w:ascii="Times New Roman" w:hAnsi="Times New Roman" w:eastAsia="方正仿宋_GBK" w:cs="Times New Roman"/>
          <w:b w:val="0"/>
          <w:bCs w:val="0"/>
          <w:sz w:val="32"/>
          <w:szCs w:val="32"/>
        </w:rPr>
        <w:t>的重要</w:t>
      </w:r>
      <w:r>
        <w:rPr>
          <w:rFonts w:hint="eastAsia" w:ascii="Times New Roman" w:hAnsi="Times New Roman" w:eastAsia="方正仿宋_GBK" w:cs="Times New Roman"/>
          <w:b w:val="0"/>
          <w:bCs w:val="0"/>
          <w:sz w:val="32"/>
          <w:szCs w:val="32"/>
          <w:lang w:eastAsia="zh-CN"/>
        </w:rPr>
        <w:t>讲话</w:t>
      </w:r>
      <w:r>
        <w:rPr>
          <w:rFonts w:hint="default" w:ascii="Times New Roman" w:hAnsi="Times New Roman" w:eastAsia="方正仿宋_GBK" w:cs="Times New Roman"/>
          <w:b w:val="0"/>
          <w:bCs w:val="0"/>
          <w:sz w:val="32"/>
          <w:szCs w:val="32"/>
        </w:rPr>
        <w:t>指示精神，认真落实省委十四届四次全会</w:t>
      </w:r>
      <w:r>
        <w:rPr>
          <w:rFonts w:hint="eastAsia" w:ascii="Times New Roman" w:hAnsi="Times New Roman" w:eastAsia="方正仿宋_GBK" w:cs="Times New Roman"/>
          <w:b w:val="0"/>
          <w:bCs w:val="0"/>
          <w:sz w:val="32"/>
          <w:szCs w:val="32"/>
          <w:lang w:eastAsia="zh-CN"/>
        </w:rPr>
        <w:t>关于</w:t>
      </w:r>
      <w:r>
        <w:rPr>
          <w:rFonts w:hint="default" w:ascii="Times New Roman" w:hAnsi="Times New Roman" w:eastAsia="方正仿宋_GBK" w:cs="Times New Roman"/>
          <w:b w:val="0"/>
          <w:bCs w:val="0"/>
          <w:sz w:val="32"/>
          <w:szCs w:val="32"/>
        </w:rPr>
        <w:t>交通强省建设</w:t>
      </w:r>
      <w:r>
        <w:rPr>
          <w:rFonts w:hint="eastAsia" w:ascii="Times New Roman" w:hAnsi="Times New Roman" w:eastAsia="方正仿宋_GBK" w:cs="Times New Roman"/>
          <w:b w:val="0"/>
          <w:bCs w:val="0"/>
          <w:sz w:val="32"/>
          <w:szCs w:val="32"/>
          <w:lang w:eastAsia="zh-CN"/>
        </w:rPr>
        <w:t>的</w:t>
      </w:r>
      <w:r>
        <w:rPr>
          <w:rFonts w:hint="default" w:ascii="Times New Roman" w:hAnsi="Times New Roman" w:eastAsia="方正仿宋_GBK" w:cs="Times New Roman"/>
          <w:b w:val="0"/>
          <w:bCs w:val="0"/>
          <w:sz w:val="32"/>
          <w:szCs w:val="32"/>
        </w:rPr>
        <w:t>决策部署和市委市政府</w:t>
      </w:r>
      <w:r>
        <w:rPr>
          <w:rFonts w:hint="eastAsia" w:ascii="Times New Roman" w:hAnsi="Times New Roman" w:eastAsia="方正仿宋_GBK" w:cs="Times New Roman"/>
          <w:b w:val="0"/>
          <w:bCs w:val="0"/>
          <w:sz w:val="32"/>
          <w:szCs w:val="32"/>
          <w:lang w:eastAsia="zh-CN"/>
        </w:rPr>
        <w:t>关于</w:t>
      </w:r>
      <w:r>
        <w:rPr>
          <w:rFonts w:hint="default" w:ascii="Times New Roman" w:hAnsi="Times New Roman" w:eastAsia="方正仿宋_GBK" w:cs="Times New Roman"/>
          <w:b w:val="0"/>
          <w:bCs w:val="0"/>
          <w:sz w:val="32"/>
          <w:szCs w:val="32"/>
        </w:rPr>
        <w:t>“四化”同步集成改革示范区建设</w:t>
      </w:r>
      <w:r>
        <w:rPr>
          <w:rFonts w:hint="eastAsia" w:ascii="Times New Roman" w:hAnsi="Times New Roman" w:eastAsia="方正仿宋_GBK" w:cs="Times New Roman"/>
          <w:b w:val="0"/>
          <w:bCs w:val="0"/>
          <w:sz w:val="32"/>
          <w:szCs w:val="32"/>
          <w:lang w:eastAsia="zh-CN"/>
        </w:rPr>
        <w:t>的</w:t>
      </w:r>
      <w:r>
        <w:rPr>
          <w:rFonts w:hint="default" w:ascii="Times New Roman" w:hAnsi="Times New Roman" w:eastAsia="方正仿宋_GBK" w:cs="Times New Roman"/>
          <w:b w:val="0"/>
          <w:bCs w:val="0"/>
          <w:sz w:val="32"/>
          <w:szCs w:val="32"/>
        </w:rPr>
        <w:t>有关要求，立足新发展阶段，完整、准确、全面贯彻新发展理念，加快服务构建新发展格局，以服务淮河生态经济带发展和宿迁市工业化、城镇化发展为宗旨，以推动高质量发展为主题，以深化供给侧结构性改革为主线，以改革创新为根本动力，积极融入苏北“物流金三角”，按照畅网络、强枢纽、增亮点、强特色、深融合的要求，加快构建经济高效、安全便捷、智慧绿色、支撑有力、管理先进的现代水运交通体系，强化港产联动，突出“壮大新兴临港产业、提升传统临港产业、发展现代港航服务业”发展重点，加快形</w:t>
      </w:r>
      <w:r>
        <w:rPr>
          <w:rFonts w:hint="eastAsia" w:ascii="方正仿宋_GBK" w:hAnsi="方正仿宋_GBK" w:eastAsia="方正仿宋_GBK" w:cs="方正仿宋_GBK"/>
          <w:b w:val="0"/>
          <w:bCs w:val="0"/>
          <w:sz w:val="32"/>
          <w:szCs w:val="32"/>
        </w:rPr>
        <w:t>成“</w:t>
      </w:r>
      <w:r>
        <w:rPr>
          <w:rFonts w:hint="default" w:ascii="Times New Roman" w:hAnsi="Times New Roman" w:eastAsia="方正仿宋_GBK" w:cs="Times New Roman"/>
          <w:b w:val="0"/>
          <w:bCs w:val="0"/>
          <w:sz w:val="32"/>
          <w:szCs w:val="32"/>
        </w:rPr>
        <w:t>443</w:t>
      </w:r>
      <w:r>
        <w:rPr>
          <w:rFonts w:hint="eastAsia" w:ascii="方正仿宋_GBK" w:hAnsi="方正仿宋_GBK" w:eastAsia="方正仿宋_GBK" w:cs="方正仿宋_GBK"/>
          <w:b w:val="0"/>
          <w:bCs w:val="0"/>
          <w:sz w:val="32"/>
          <w:szCs w:val="32"/>
        </w:rPr>
        <w:t>”临港产业新体系，</w:t>
      </w:r>
      <w:r>
        <w:rPr>
          <w:rFonts w:hint="default" w:ascii="Times New Roman" w:hAnsi="Times New Roman" w:eastAsia="方正仿宋_GBK" w:cs="Times New Roman"/>
          <w:b w:val="0"/>
          <w:bCs w:val="0"/>
          <w:sz w:val="32"/>
          <w:szCs w:val="32"/>
        </w:rPr>
        <w:t>为宿迁现代综合交通运输体系和现代化经济体系建设提供坚实支撑。</w:t>
      </w:r>
    </w:p>
    <w:p>
      <w:pPr>
        <w:keepNext w:val="0"/>
        <w:keepLines w:val="0"/>
        <w:pageBreakBefore w:val="0"/>
        <w:widowControl w:val="0"/>
        <w:kinsoku/>
        <w:wordWrap/>
        <w:overflowPunct/>
        <w:autoSpaceDE/>
        <w:autoSpaceDN/>
        <w:bidi w:val="0"/>
        <w:adjustRightInd/>
        <w:snapToGrid/>
        <w:spacing w:line="530"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198" w:name="_Toc2454"/>
      <w:r>
        <w:rPr>
          <w:rFonts w:hint="default" w:ascii="Times New Roman" w:hAnsi="Times New Roman" w:eastAsia="方正楷体_GBK" w:cs="Times New Roman"/>
          <w:b w:val="0"/>
          <w:bCs w:val="0"/>
          <w:sz w:val="32"/>
          <w:szCs w:val="32"/>
        </w:rPr>
        <w:t>（二）基本原则</w:t>
      </w:r>
      <w:bookmarkEnd w:id="198"/>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坚持系统观念、服务大局。立足经济社会发展全局，加强对临港产业发展的前瞻性思考、全局性谋划、战略性布局，进一步做强“硬核”力量，深度融入“一带一路”、长江经济带、长三角一体化、淮河生态经济带等国家战略，积极服务双循环新发展格局。</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坚持融合发展、和谐共生。按照以人为本、人与自然和谐发展的理念，统筹港口与城市、社会、环境关系，协调城市空间、港口设施、水运交通、产业布局，持续优化完善港航发展管理，推动形成港产城协同联动、深度融合的发展新格局。</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坚持创新驱动、绿色低碳。抢抓新一轮科技革命和产业变革机遇，聚焦新基建新循环新元素，完整、准确、全面贯彻新发展理念，以科技创新为引领，以新技术应用为抓手，全面提升港航智慧绿色安全可持续水平，推动临港产业高质量发展。</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坚持功能拓展、服务升级。因地制宜推进多元化服务模式与多样化商业模式创新，全面拓展高端航运服务等综合功能，前瞻布局各类航运融合产业和更具潜力的临港产业，全面提升现代航运及服务业发展水平，强化港航对区域产业的支撑辐射作用，打造具有宿迁特色的临港产业发展新模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199" w:name="_Toc1686"/>
      <w:r>
        <w:rPr>
          <w:rFonts w:hint="default" w:ascii="Times New Roman" w:hAnsi="Times New Roman" w:eastAsia="方正楷体_GBK" w:cs="Times New Roman"/>
          <w:b w:val="0"/>
          <w:bCs w:val="0"/>
          <w:sz w:val="32"/>
          <w:szCs w:val="32"/>
        </w:rPr>
        <w:t>（三）战略定位</w:t>
      </w:r>
      <w:bookmarkEnd w:id="199"/>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bookmarkStart w:id="200" w:name="_Hlk156920316"/>
      <w:r>
        <w:rPr>
          <w:rFonts w:hint="default" w:ascii="Times New Roman" w:hAnsi="Times New Roman" w:eastAsia="方正仿宋_GBK" w:cs="Times New Roman"/>
          <w:b w:val="0"/>
          <w:bCs w:val="0"/>
          <w:sz w:val="32"/>
          <w:szCs w:val="32"/>
        </w:rPr>
        <w:t>长三角北翼内河新兴临港产业发展高地</w:t>
      </w:r>
      <w:bookmarkEnd w:id="200"/>
      <w:r>
        <w:rPr>
          <w:rFonts w:hint="default" w:ascii="Times New Roman" w:hAnsi="Times New Roman" w:eastAsia="方正仿宋_GBK" w:cs="Times New Roman"/>
          <w:b w:val="0"/>
          <w:bCs w:val="0"/>
          <w:sz w:val="32"/>
          <w:szCs w:val="32"/>
        </w:rPr>
        <w:t>。充分发挥京杭运河和宿连航道等高等级航道交汇的区位优势，全面融入长三角一体化建设等国家战略，借助打造长三角北翼区域性综合交通枢纽重大机遇，优化临港产业空间布局，加快高端资源要素集聚，积极承载先进制造业，前瞻布局新兴临港产业，提升临港产业发展能级，打造长三角北翼内河新兴临港产业发展高地。</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01" w:name="_Toc24274"/>
      <w:r>
        <w:rPr>
          <w:rFonts w:hint="default" w:ascii="Times New Roman" w:hAnsi="Times New Roman" w:eastAsia="方正楷体_GBK" w:cs="Times New Roman"/>
          <w:b w:val="0"/>
          <w:bCs w:val="0"/>
          <w:sz w:val="32"/>
          <w:szCs w:val="32"/>
        </w:rPr>
        <w:t>（四）主要目标</w:t>
      </w:r>
      <w:bookmarkEnd w:id="201"/>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到2025年，基本建成“东部出海、区域成网、县市达标、内联外畅”的高等级航道网络和“设施一流、技术一流、管理一流、服务一流”的现代化港口集群；宿迁港融入苏北“物流金三角”，服务区域经济和产业发展的支撑带动能力稳步提升，打造成为长三角北翼内河新兴临港产业发展高地；临港产业成为引领带动全市产业转型升级的关键力量，产业规模突破4000亿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服务国家战略和区域经济社会发展水平显著提升。加快宿迁港融入苏北“物流金三角”，推进集装箱等主要货类运输系统进一步与全省沿江沿海以及长三角运输体系相衔接，提升水路联通水平和运输效率，降低综合物流成本。</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吸引物流要素和临港产业集聚能力显著提升。推进港口与临港物流、产业、集疏运等一体化规划建设，延伸拓展港航综合服务功能，优化综合服务环境，港产城进一步融合发展。高水平建设宿迁保税物流中心项目，全力打造成为宿迁转型发展新动能、对外开放新名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港口综合竞争力和临港产业发展能级显著提升。充分发挥港航运输资源潜力，建立健全运输价格调节机制，提高港航周转效率和运输活力，提升宿迁港综合竞争力。辐射支撑临港产业高质量发展，促进要素有序高效流动，加强对外交流合作，助推宿迁临港产业发展能级实现跃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岸线资源综合利用效率和绿色发展水平显著提升。统一开发未利用岸线资源，统筹整合已利用岸线资源，实现港口资源高效利用。推进港口绿色转型升级，不断提升港口基础设施、装备和运输组织的绿色发展水平。</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展望至2035年，宿迁临港产业发展水平实现大幅跃升，产业规模突破万亿元大关，长三角内河航运枢纽地位得到巩固，培育打造一批具有国际</w:t>
      </w:r>
      <w:r>
        <w:rPr>
          <w:rFonts w:hint="eastAsia" w:ascii="Times New Roman" w:hAnsi="Times New Roman" w:eastAsia="方正仿宋_GBK" w:cs="Times New Roman"/>
          <w:b w:val="0"/>
          <w:bCs w:val="0"/>
          <w:sz w:val="32"/>
          <w:szCs w:val="32"/>
          <w:lang w:eastAsia="zh-CN"/>
        </w:rPr>
        <w:t>国内</w:t>
      </w:r>
      <w:r>
        <w:rPr>
          <w:rFonts w:hint="default" w:ascii="Times New Roman" w:hAnsi="Times New Roman" w:eastAsia="方正仿宋_GBK" w:cs="Times New Roman"/>
          <w:b w:val="0"/>
          <w:bCs w:val="0"/>
          <w:sz w:val="32"/>
          <w:szCs w:val="32"/>
        </w:rPr>
        <w:t>竞争力的临港特色产业集群，全面建成国内先进、具有宿迁特色的现代化临港产业体系，成为以全国一流内河港口为依托、特色临港产业集群为支撑的港产城融合发展新高地，开创宿迁临港产业发展新纪元。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0"/>
        <w:rPr>
          <w:rFonts w:hint="default" w:ascii="Times New Roman" w:hAnsi="Times New Roman" w:eastAsia="方正黑体_GBK" w:cs="Times New Roman"/>
          <w:b w:val="0"/>
          <w:bCs w:val="0"/>
          <w:sz w:val="32"/>
          <w:szCs w:val="32"/>
        </w:rPr>
      </w:pPr>
      <w:bookmarkStart w:id="202" w:name="_Toc7255"/>
      <w:r>
        <w:rPr>
          <w:rFonts w:hint="default" w:ascii="Times New Roman" w:hAnsi="Times New Roman" w:eastAsia="方正黑体_GBK" w:cs="Times New Roman"/>
          <w:b w:val="0"/>
          <w:bCs w:val="0"/>
          <w:sz w:val="32"/>
          <w:szCs w:val="32"/>
        </w:rPr>
        <w:t>四、产业重点方向与临港园区布局</w:t>
      </w:r>
      <w:bookmarkEnd w:id="202"/>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充分发挥宿迁京杭运河、宿连航道、徐洪河等高等级航道优势，遵循港航与临港产业联动发展规律，紧扣宿迁港作业区布局与产业空间布局，重点发展新兴临港产业、传统临港产业、港航服务业3大类临港产业。其中，发展壮大新能源、新材料、装备制造、绿色循环等4个新兴临港产业，优化提升高端纺织、绿色家居、绿色食品、绿色建材等4个传统临港产业，加快发展现代航运物流业、高端航运服务业、现代航运融合产业等3个港航服务业，科学谋划临港产业重点依托园区，加快构建形成“443”临港产业新体系。</w:t>
      </w:r>
    </w:p>
    <w:p>
      <w:pPr>
        <w:jc w:val="center"/>
        <w:rPr>
          <w:rFonts w:hint="default" w:ascii="Times New Roman" w:hAnsi="Times New Roman" w:eastAsia="方正黑体_GBK" w:cs="Times New Roman"/>
          <w:b w:val="0"/>
          <w:bCs w:val="0"/>
          <w:sz w:val="24"/>
          <w:szCs w:val="21"/>
        </w:rPr>
      </w:pPr>
      <w:r>
        <w:rPr>
          <w:rFonts w:hint="default" w:ascii="Times New Roman" w:hAnsi="Times New Roman" w:eastAsia="方正黑体_GBK" w:cs="Times New Roman"/>
          <w:b w:val="0"/>
          <w:bCs w:val="0"/>
          <w:sz w:val="24"/>
          <w:szCs w:val="21"/>
        </w:rPr>
        <w:t>表4-1  宿迁“443”临港产业新体系发展重点</w:t>
      </w:r>
    </w:p>
    <w:tbl>
      <w:tblPr>
        <w:tblStyle w:val="26"/>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1843"/>
        <w:gridCol w:w="2186"/>
        <w:gridCol w:w="1925"/>
        <w:gridCol w:w="3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tblHeader/>
          <w:jc w:val="center"/>
        </w:trPr>
        <w:tc>
          <w:tcPr>
            <w:tcW w:w="1017" w:type="pct"/>
            <w:shd w:val="clear" w:color="auto" w:fill="auto"/>
            <w:vAlign w:val="center"/>
          </w:tcPr>
          <w:p>
            <w:pPr>
              <w:widowControl/>
              <w:spacing w:line="240" w:lineRule="exact"/>
              <w:jc w:val="center"/>
              <w:rPr>
                <w:rFonts w:hint="default" w:ascii="Times New Roman" w:hAnsi="Times New Roman" w:eastAsia="方正黑体_GBK" w:cs="Times New Roman"/>
                <w:b w:val="0"/>
                <w:bCs w:val="0"/>
                <w:color w:val="000000"/>
                <w:kern w:val="0"/>
                <w:szCs w:val="21"/>
                <w14:ligatures w14:val="none"/>
              </w:rPr>
            </w:pPr>
            <w:r>
              <w:rPr>
                <w:rFonts w:hint="default" w:ascii="Times New Roman" w:hAnsi="Times New Roman" w:eastAsia="方正黑体_GBK" w:cs="Times New Roman"/>
                <w:b w:val="0"/>
                <w:bCs w:val="0"/>
                <w:color w:val="000000"/>
                <w:kern w:val="0"/>
                <w:szCs w:val="21"/>
                <w14:ligatures w14:val="none"/>
              </w:rPr>
              <w:t>产业类型</w:t>
            </w:r>
          </w:p>
        </w:tc>
        <w:tc>
          <w:tcPr>
            <w:tcW w:w="1206" w:type="pct"/>
            <w:shd w:val="clear" w:color="auto" w:fill="auto"/>
            <w:vAlign w:val="center"/>
          </w:tcPr>
          <w:p>
            <w:pPr>
              <w:widowControl/>
              <w:spacing w:line="240" w:lineRule="exact"/>
              <w:jc w:val="center"/>
              <w:rPr>
                <w:rFonts w:hint="default" w:ascii="Times New Roman" w:hAnsi="Times New Roman" w:eastAsia="方正黑体_GBK" w:cs="Times New Roman"/>
                <w:b w:val="0"/>
                <w:bCs w:val="0"/>
                <w:color w:val="000000"/>
                <w:kern w:val="0"/>
                <w:szCs w:val="21"/>
                <w14:ligatures w14:val="none"/>
              </w:rPr>
            </w:pPr>
            <w:r>
              <w:rPr>
                <w:rFonts w:hint="default" w:ascii="Times New Roman" w:hAnsi="Times New Roman" w:eastAsia="方正黑体_GBK" w:cs="Times New Roman"/>
                <w:b w:val="0"/>
                <w:bCs w:val="0"/>
                <w:color w:val="000000"/>
                <w:kern w:val="0"/>
                <w:szCs w:val="21"/>
                <w14:ligatures w14:val="none"/>
              </w:rPr>
              <w:t>重点产业</w:t>
            </w:r>
          </w:p>
        </w:tc>
        <w:tc>
          <w:tcPr>
            <w:tcW w:w="1062" w:type="pct"/>
            <w:shd w:val="clear" w:color="auto" w:fill="auto"/>
            <w:vAlign w:val="center"/>
          </w:tcPr>
          <w:p>
            <w:pPr>
              <w:widowControl/>
              <w:spacing w:line="240" w:lineRule="exact"/>
              <w:jc w:val="center"/>
              <w:rPr>
                <w:rFonts w:hint="eastAsia" w:ascii="Times New Roman" w:hAnsi="Times New Roman" w:eastAsia="方正黑体_GBK" w:cs="Times New Roman"/>
                <w:b w:val="0"/>
                <w:bCs w:val="0"/>
                <w:color w:val="000000"/>
                <w:kern w:val="0"/>
                <w:szCs w:val="21"/>
                <w:lang w:eastAsia="zh-CN"/>
                <w14:ligatures w14:val="none"/>
              </w:rPr>
            </w:pPr>
            <w:r>
              <w:rPr>
                <w:rFonts w:hint="default" w:ascii="Times New Roman" w:hAnsi="Times New Roman" w:eastAsia="方正黑体_GBK" w:cs="Times New Roman"/>
                <w:b w:val="0"/>
                <w:bCs w:val="0"/>
                <w:color w:val="000000"/>
                <w:kern w:val="0"/>
                <w:szCs w:val="21"/>
                <w14:ligatures w14:val="none"/>
              </w:rPr>
              <w:t>2025年目标</w:t>
            </w:r>
            <w:r>
              <w:rPr>
                <w:rFonts w:hint="eastAsia" w:ascii="Times New Roman" w:hAnsi="Times New Roman" w:eastAsia="方正黑体_GBK" w:cs="Times New Roman"/>
                <w:b w:val="0"/>
                <w:bCs w:val="0"/>
                <w:color w:val="000000"/>
                <w:kern w:val="0"/>
                <w:szCs w:val="21"/>
                <w:lang w:eastAsia="zh-CN"/>
                <w14:ligatures w14:val="none"/>
              </w:rPr>
              <w:t>（亿元）</w:t>
            </w:r>
          </w:p>
        </w:tc>
        <w:tc>
          <w:tcPr>
            <w:tcW w:w="1712" w:type="pct"/>
            <w:shd w:val="clear" w:color="auto" w:fill="auto"/>
            <w:vAlign w:val="center"/>
          </w:tcPr>
          <w:p>
            <w:pPr>
              <w:widowControl/>
              <w:spacing w:line="240" w:lineRule="exact"/>
              <w:jc w:val="center"/>
              <w:rPr>
                <w:rFonts w:hint="default" w:ascii="Times New Roman" w:hAnsi="Times New Roman" w:eastAsia="方正黑体_GBK" w:cs="Times New Roman"/>
                <w:b w:val="0"/>
                <w:bCs w:val="0"/>
                <w:color w:val="000000"/>
                <w:kern w:val="0"/>
                <w:szCs w:val="21"/>
                <w14:ligatures w14:val="none"/>
              </w:rPr>
            </w:pPr>
            <w:r>
              <w:rPr>
                <w:rFonts w:hint="default" w:ascii="Times New Roman" w:hAnsi="Times New Roman" w:eastAsia="方正黑体_GBK" w:cs="Times New Roman"/>
                <w:b w:val="0"/>
                <w:bCs w:val="0"/>
                <w:color w:val="000000"/>
                <w:kern w:val="0"/>
                <w:szCs w:val="21"/>
                <w14:ligatures w14:val="none"/>
              </w:rPr>
              <w:t>细分产业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restart"/>
            <w:shd w:val="clear" w:color="auto" w:fill="auto"/>
            <w:vAlign w:val="center"/>
          </w:tcPr>
          <w:p>
            <w:pPr>
              <w:widowControl/>
              <w:spacing w:line="240" w:lineRule="exact"/>
              <w:jc w:val="center"/>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发展壮大</w:t>
            </w:r>
          </w:p>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新兴临港产业</w:t>
            </w:r>
          </w:p>
        </w:tc>
        <w:tc>
          <w:tcPr>
            <w:tcW w:w="1206"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新能源</w:t>
            </w:r>
          </w:p>
        </w:tc>
        <w:tc>
          <w:tcPr>
            <w:tcW w:w="1062"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lang w:val="en-US" w:eastAsia="zh-CN"/>
                <w14:ligatures w14:val="none"/>
              </w:rPr>
            </w:pPr>
            <w:r>
              <w:rPr>
                <w:rFonts w:hint="default" w:ascii="Times New Roman" w:hAnsi="Times New Roman" w:eastAsia="宋体" w:cs="Times New Roman"/>
                <w:b w:val="0"/>
                <w:bCs w:val="0"/>
                <w:color w:val="000000"/>
                <w:kern w:val="0"/>
                <w:szCs w:val="21"/>
                <w:lang w:val="en-US" w:eastAsia="zh-CN"/>
                <w14:ligatures w14:val="none"/>
              </w:rPr>
              <w:t>1200</w:t>
            </w:r>
          </w:p>
        </w:tc>
        <w:tc>
          <w:tcPr>
            <w:tcW w:w="1712" w:type="pct"/>
            <w:shd w:val="clear" w:color="auto" w:fill="auto"/>
            <w:vAlign w:val="center"/>
          </w:tcPr>
          <w:p>
            <w:pPr>
              <w:widowControl/>
              <w:spacing w:line="240" w:lineRule="exact"/>
              <w:jc w:val="center"/>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光伏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新型储能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氢能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新材料</w:t>
            </w:r>
          </w:p>
        </w:tc>
        <w:tc>
          <w:tcPr>
            <w:tcW w:w="1062"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宋体" w:cs="Times New Roman"/>
                <w:b w:val="0"/>
                <w:bCs w:val="0"/>
                <w:color w:val="000000"/>
                <w:kern w:val="0"/>
                <w:szCs w:val="21"/>
                <w14:ligatures w14:val="none"/>
              </w:rPr>
              <w:t>500</w:t>
            </w: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先进金属材料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化工新材料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功能玻璃材料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装备制造</w:t>
            </w:r>
          </w:p>
        </w:tc>
        <w:tc>
          <w:tcPr>
            <w:tcW w:w="1062"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lang w:val="en-US" w:eastAsia="zh-CN"/>
                <w14:ligatures w14:val="none"/>
              </w:rPr>
            </w:pPr>
            <w:r>
              <w:rPr>
                <w:rFonts w:hint="default" w:ascii="Times New Roman" w:hAnsi="Times New Roman" w:eastAsia="宋体" w:cs="Times New Roman"/>
                <w:b w:val="0"/>
                <w:bCs w:val="0"/>
                <w:color w:val="000000"/>
                <w:kern w:val="0"/>
                <w:szCs w:val="21"/>
                <w:lang w:val="en-US" w:eastAsia="zh-CN"/>
                <w14:ligatures w14:val="none"/>
              </w:rPr>
              <w:t>300</w:t>
            </w:r>
          </w:p>
        </w:tc>
        <w:tc>
          <w:tcPr>
            <w:tcW w:w="1712" w:type="pct"/>
            <w:shd w:val="clear" w:color="auto" w:fill="auto"/>
            <w:vAlign w:val="center"/>
          </w:tcPr>
          <w:p>
            <w:pPr>
              <w:widowControl/>
              <w:spacing w:line="240" w:lineRule="exact"/>
              <w:jc w:val="center"/>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智能制造装备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内河绿色船舶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船舶海工配套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工程机械配套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绿色循环</w:t>
            </w:r>
          </w:p>
        </w:tc>
        <w:tc>
          <w:tcPr>
            <w:tcW w:w="1062"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宋体" w:cs="Times New Roman"/>
                <w:b w:val="0"/>
                <w:bCs w:val="0"/>
                <w:color w:val="000000"/>
                <w:kern w:val="0"/>
                <w:szCs w:val="21"/>
                <w14:ligatures w14:val="none"/>
              </w:rPr>
              <w:t>100</w:t>
            </w: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光伏装备循环利用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动力电池梯次利用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汽车拆解利用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再生金属回收利用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restart"/>
            <w:shd w:val="clear" w:color="auto" w:fill="auto"/>
            <w:vAlign w:val="center"/>
          </w:tcPr>
          <w:p>
            <w:pPr>
              <w:widowControl/>
              <w:spacing w:line="240" w:lineRule="exact"/>
              <w:jc w:val="center"/>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优化提升</w:t>
            </w:r>
          </w:p>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传统临港产业</w:t>
            </w:r>
          </w:p>
        </w:tc>
        <w:tc>
          <w:tcPr>
            <w:tcW w:w="1206"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高端纺织</w:t>
            </w:r>
          </w:p>
        </w:tc>
        <w:tc>
          <w:tcPr>
            <w:tcW w:w="1062"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宋体" w:cs="Times New Roman"/>
                <w:b w:val="0"/>
                <w:bCs w:val="0"/>
                <w:color w:val="000000"/>
                <w:kern w:val="0"/>
                <w:szCs w:val="21"/>
                <w14:ligatures w14:val="none"/>
              </w:rPr>
              <w:t>900</w:t>
            </w: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高性能化学纤维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服装服饰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家用纺织品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产业用纺织品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绿色家居</w:t>
            </w:r>
          </w:p>
        </w:tc>
        <w:tc>
          <w:tcPr>
            <w:tcW w:w="1062"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lang w:val="en-US" w:eastAsia="zh-CN"/>
                <w14:ligatures w14:val="none"/>
              </w:rPr>
            </w:pPr>
            <w:r>
              <w:rPr>
                <w:rFonts w:hint="default" w:ascii="Times New Roman" w:hAnsi="Times New Roman" w:eastAsia="宋体" w:cs="Times New Roman"/>
                <w:b w:val="0"/>
                <w:bCs w:val="0"/>
                <w:color w:val="000000"/>
                <w:kern w:val="0"/>
                <w:szCs w:val="21"/>
                <w:lang w:val="en-US" w:eastAsia="zh-CN"/>
                <w14:ligatures w14:val="none"/>
              </w:rPr>
              <w:t>400</w:t>
            </w:r>
          </w:p>
        </w:tc>
        <w:tc>
          <w:tcPr>
            <w:tcW w:w="1712" w:type="pct"/>
            <w:shd w:val="clear" w:color="auto" w:fill="auto"/>
            <w:vAlign w:val="center"/>
          </w:tcPr>
          <w:p>
            <w:pPr>
              <w:widowControl/>
              <w:spacing w:line="240" w:lineRule="exact"/>
              <w:jc w:val="center"/>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智能家居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绿色食品</w:t>
            </w:r>
          </w:p>
        </w:tc>
        <w:tc>
          <w:tcPr>
            <w:tcW w:w="1062"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lang w:val="en-US" w:eastAsia="zh-CN"/>
                <w14:ligatures w14:val="none"/>
              </w:rPr>
            </w:pPr>
            <w:r>
              <w:rPr>
                <w:rFonts w:hint="default" w:ascii="Times New Roman" w:hAnsi="Times New Roman" w:eastAsia="宋体" w:cs="Times New Roman"/>
                <w:b w:val="0"/>
                <w:bCs w:val="0"/>
                <w:color w:val="000000"/>
                <w:kern w:val="0"/>
                <w:szCs w:val="21"/>
                <w:lang w:val="en-US" w:eastAsia="zh-CN"/>
                <w14:ligatures w14:val="none"/>
              </w:rPr>
              <w:t>300</w:t>
            </w: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酿造（酒）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农副产品精深加工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水产品精深加工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绿色建材</w:t>
            </w:r>
          </w:p>
        </w:tc>
        <w:tc>
          <w:tcPr>
            <w:tcW w:w="1062"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宋体" w:cs="Times New Roman"/>
                <w:b w:val="0"/>
                <w:bCs w:val="0"/>
                <w:color w:val="000000"/>
                <w:kern w:val="0"/>
                <w:szCs w:val="21"/>
                <w14:ligatures w14:val="none"/>
              </w:rPr>
              <w:t>200</w:t>
            </w:r>
          </w:p>
        </w:tc>
        <w:tc>
          <w:tcPr>
            <w:tcW w:w="1712" w:type="pct"/>
            <w:shd w:val="clear" w:color="auto" w:fill="auto"/>
            <w:vAlign w:val="center"/>
          </w:tcPr>
          <w:p>
            <w:pPr>
              <w:widowControl/>
              <w:spacing w:line="240" w:lineRule="exact"/>
              <w:jc w:val="center"/>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装配式建筑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环保装饰材料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restart"/>
            <w:shd w:val="clear" w:color="auto" w:fill="auto"/>
            <w:vAlign w:val="center"/>
          </w:tcPr>
          <w:p>
            <w:pPr>
              <w:widowControl/>
              <w:spacing w:line="240" w:lineRule="exact"/>
              <w:jc w:val="center"/>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加快发展</w:t>
            </w:r>
          </w:p>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现代港航服务业</w:t>
            </w:r>
          </w:p>
        </w:tc>
        <w:tc>
          <w:tcPr>
            <w:tcW w:w="1206"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现代航运物流业</w:t>
            </w:r>
          </w:p>
        </w:tc>
        <w:tc>
          <w:tcPr>
            <w:tcW w:w="1062"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lang w:val="en-US" w:eastAsia="zh-CN"/>
                <w14:ligatures w14:val="none"/>
              </w:rPr>
            </w:pPr>
            <w:r>
              <w:rPr>
                <w:rFonts w:hint="default" w:ascii="Times New Roman" w:hAnsi="Times New Roman" w:eastAsia="宋体" w:cs="Times New Roman"/>
                <w:b w:val="0"/>
                <w:bCs w:val="0"/>
                <w:color w:val="000000"/>
                <w:kern w:val="0"/>
                <w:szCs w:val="21"/>
                <w:lang w:val="en-US" w:eastAsia="zh-CN"/>
                <w14:ligatures w14:val="none"/>
              </w:rPr>
              <w:t>60</w:t>
            </w: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冷链物流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供应链物流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大宗商品物流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国际物流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高端航运服务业</w:t>
            </w:r>
          </w:p>
        </w:tc>
        <w:tc>
          <w:tcPr>
            <w:tcW w:w="1062"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宋体" w:cs="Times New Roman"/>
                <w:b w:val="0"/>
                <w:bCs w:val="0"/>
                <w:color w:val="000000"/>
                <w:kern w:val="0"/>
                <w:szCs w:val="21"/>
                <w14:ligatures w14:val="none"/>
              </w:rPr>
              <w:t>30</w:t>
            </w: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船舶服务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航运培训服务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航运要素交易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4"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现代航运融合产业</w:t>
            </w:r>
          </w:p>
        </w:tc>
        <w:tc>
          <w:tcPr>
            <w:tcW w:w="1062" w:type="pct"/>
            <w:vMerge w:val="restar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宋体" w:cs="Times New Roman"/>
                <w:b w:val="0"/>
                <w:bCs w:val="0"/>
                <w:color w:val="000000"/>
                <w:kern w:val="0"/>
                <w:szCs w:val="21"/>
                <w14:ligatures w14:val="none"/>
              </w:rPr>
              <w:t>10</w:t>
            </w: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航运金融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9" w:hRule="atLeast"/>
          <w:jc w:val="center"/>
        </w:trPr>
        <w:tc>
          <w:tcPr>
            <w:tcW w:w="1017"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206"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062" w:type="pct"/>
            <w:vMerge w:val="continue"/>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p>
        </w:tc>
        <w:tc>
          <w:tcPr>
            <w:tcW w:w="1712" w:type="pct"/>
            <w:shd w:val="clear" w:color="auto" w:fill="auto"/>
            <w:vAlign w:val="center"/>
          </w:tcPr>
          <w:p>
            <w:pPr>
              <w:widowControl/>
              <w:spacing w:line="240" w:lineRule="exact"/>
              <w:jc w:val="center"/>
              <w:rPr>
                <w:rFonts w:hint="default" w:ascii="Times New Roman" w:hAnsi="Times New Roman" w:eastAsia="宋体"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航运保险</w:t>
            </w:r>
          </w:p>
        </w:tc>
      </w:tr>
    </w:tbl>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03" w:name="_Toc13639"/>
      <w:r>
        <w:rPr>
          <w:rFonts w:hint="default" w:ascii="Times New Roman" w:hAnsi="Times New Roman" w:eastAsia="方正楷体_GBK" w:cs="Times New Roman"/>
          <w:b w:val="0"/>
          <w:bCs w:val="0"/>
          <w:sz w:val="32"/>
          <w:szCs w:val="32"/>
        </w:rPr>
        <w:t>（一）发展壮大新兴临港产业</w:t>
      </w:r>
      <w:bookmarkEnd w:id="203"/>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深度挖掘宿迁港航资源对新兴产业的拉动潜力，立足全市临港产业发展基础，进一步强化产业优势、扩大产业规模、延伸产业链条，深度融入全国乃至全球高端产业链、供应链和价值链，推动新能源、新材料、装备制造、绿色循环等新兴临港产业发展壮大。力争到2025年，新兴临港产业规模突破</w:t>
      </w:r>
      <w:r>
        <w:rPr>
          <w:rFonts w:hint="default" w:ascii="Times New Roman" w:hAnsi="Times New Roman" w:eastAsia="方正仿宋_GBK" w:cs="Times New Roman"/>
          <w:b w:val="0"/>
          <w:bCs w:val="0"/>
          <w:sz w:val="32"/>
          <w:szCs w:val="32"/>
          <w:lang w:val="en-US" w:eastAsia="zh-CN"/>
        </w:rPr>
        <w:t>2100</w:t>
      </w:r>
      <w:r>
        <w:rPr>
          <w:rFonts w:hint="default" w:ascii="Times New Roman" w:hAnsi="Times New Roman" w:eastAsia="方正仿宋_GBK" w:cs="Times New Roman"/>
          <w:b w:val="0"/>
          <w:bCs w:val="0"/>
          <w:sz w:val="32"/>
          <w:szCs w:val="32"/>
        </w:rPr>
        <w:t>亿元。</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2"/>
        <w:rPr>
          <w:rFonts w:hint="default" w:ascii="Times New Roman" w:hAnsi="Times New Roman" w:eastAsia="方正楷体_GBK" w:cs="Times New Roman"/>
          <w:b w:val="0"/>
          <w:bCs w:val="0"/>
          <w:sz w:val="32"/>
          <w:szCs w:val="32"/>
        </w:rPr>
      </w:pPr>
      <w:bookmarkStart w:id="204" w:name="_Toc18797"/>
      <w:r>
        <w:rPr>
          <w:rFonts w:hint="default" w:ascii="Times New Roman" w:hAnsi="Times New Roman" w:eastAsia="方正黑体_GBK" w:cs="Times New Roman"/>
          <w:b w:val="0"/>
          <w:bCs w:val="0"/>
          <w:sz w:val="32"/>
          <w:szCs w:val="32"/>
        </w:rPr>
        <w:t xml:space="preserve">1. </w:t>
      </w:r>
      <w:r>
        <w:rPr>
          <w:rFonts w:hint="default" w:ascii="Times New Roman" w:hAnsi="Times New Roman" w:eastAsia="方正仿宋_GBK" w:cs="Times New Roman"/>
          <w:b w:val="0"/>
          <w:bCs w:val="0"/>
          <w:sz w:val="32"/>
          <w:szCs w:val="32"/>
        </w:rPr>
        <w:t>新能源产业</w:t>
      </w:r>
      <w:bookmarkEnd w:id="204"/>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以宿迁经开区、宿豫区、泗洪县、宿城区、</w:t>
      </w:r>
      <w:r>
        <w:rPr>
          <w:rFonts w:hint="default" w:ascii="Times New Roman" w:hAnsi="Times New Roman" w:eastAsia="方正仿宋_GBK" w:cs="Times New Roman"/>
          <w:b w:val="0"/>
          <w:bCs w:val="0"/>
          <w:sz w:val="32"/>
          <w:szCs w:val="32"/>
          <w:lang w:eastAsia="zh-CN"/>
        </w:rPr>
        <w:t>苏宿工业园区</w:t>
      </w:r>
      <w:r>
        <w:rPr>
          <w:rFonts w:hint="default" w:ascii="Times New Roman" w:hAnsi="Times New Roman" w:eastAsia="方正仿宋_GBK" w:cs="Times New Roman"/>
          <w:b w:val="0"/>
          <w:bCs w:val="0"/>
          <w:sz w:val="32"/>
          <w:szCs w:val="32"/>
        </w:rPr>
        <w:t>为重点，依托运河宿迁港产业园（含恒力时尚产业园）、宿迁高新技术产业开发区等园区载体，充分发挥京杭运河、宿连航道、徐洪河等内河航道优势，顺应能源消费清洁化、绿色化的发展趋势，进一步巩固光伏电池片、组件、硅片等光伏领域优势，同时抢抓氢能与新型储能产业发展机遇，围绕氢能源汽车、储能电站等下游领域需求，适度超前布局一批氢能与新型储能项目，建成多元互补、绿色低碳的新能源产业体系。到2025年，新能源产业规模达</w:t>
      </w:r>
      <w:r>
        <w:rPr>
          <w:rFonts w:hint="default" w:ascii="Times New Roman" w:hAnsi="Times New Roman" w:eastAsia="方正仿宋_GBK" w:cs="Times New Roman"/>
          <w:b w:val="0"/>
          <w:bCs w:val="0"/>
          <w:sz w:val="32"/>
          <w:szCs w:val="32"/>
          <w:lang w:val="en-US" w:eastAsia="zh-CN"/>
        </w:rPr>
        <w:t>1200</w:t>
      </w:r>
      <w:r>
        <w:rPr>
          <w:rFonts w:hint="default" w:ascii="Times New Roman" w:hAnsi="Times New Roman" w:eastAsia="方正仿宋_GBK" w:cs="Times New Roman"/>
          <w:b w:val="0"/>
          <w:bCs w:val="0"/>
          <w:sz w:val="32"/>
          <w:szCs w:val="32"/>
        </w:rPr>
        <w:t>亿元。</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05" w:name="_Toc13771"/>
      <w:r>
        <w:rPr>
          <w:rFonts w:hint="default" w:ascii="Times New Roman" w:hAnsi="Times New Roman" w:eastAsia="方正仿宋_GBK" w:cs="Times New Roman"/>
          <w:b w:val="0"/>
          <w:bCs w:val="0"/>
          <w:szCs w:val="32"/>
        </w:rPr>
        <w:t>（1）光伏</w:t>
      </w:r>
      <w:bookmarkEnd w:id="205"/>
    </w:p>
    <w:p>
      <w:pPr>
        <w:pStyle w:val="11"/>
        <w:keepNext w:val="0"/>
        <w:keepLines w:val="0"/>
        <w:pageBreakBefore w:val="0"/>
        <w:widowControl w:val="0"/>
        <w:kinsoku/>
        <w:wordWrap/>
        <w:overflowPunct w:val="0"/>
        <w:topLinePunct w:val="0"/>
        <w:autoSpaceDE/>
        <w:autoSpaceDN/>
        <w:bidi w:val="0"/>
        <w:adjustRightInd/>
        <w:snapToGrid/>
        <w:spacing w:after="0" w:line="530" w:lineRule="exact"/>
        <w:ind w:left="0" w:leftChars="0" w:firstLine="640" w:firstLineChars="200"/>
        <w:textAlignment w:val="auto"/>
        <w:rPr>
          <w:rFonts w:hint="default" w:ascii="Times New Roman" w:hAnsi="Times New Roman" w:eastAsia="方正仿宋_GBK" w:cs="Times New Roman"/>
          <w:b w:val="0"/>
          <w:bCs w:val="0"/>
          <w:szCs w:val="32"/>
        </w:rPr>
      </w:pPr>
      <w:bookmarkStart w:id="206" w:name="_Toc156925299"/>
      <w:r>
        <w:rPr>
          <w:rFonts w:hint="default" w:ascii="Times New Roman" w:hAnsi="Times New Roman" w:eastAsia="方正仿宋_GBK" w:cs="Times New Roman"/>
          <w:b w:val="0"/>
          <w:bCs w:val="0"/>
          <w:szCs w:val="32"/>
        </w:rPr>
        <w:t>大力发展光伏电池，重点招引培育TOPCon电池组件、异质结（HJT）电池组件、BC电池组件</w:t>
      </w:r>
      <w:r>
        <w:rPr>
          <w:rFonts w:hint="default" w:ascii="Times New Roman" w:hAnsi="Times New Roman" w:eastAsia="方正仿宋_GBK" w:cs="Times New Roman"/>
          <w:b w:val="0"/>
          <w:bCs w:val="0"/>
          <w:szCs w:val="32"/>
          <w:lang w:eastAsia="zh-CN"/>
        </w:rPr>
        <w:t>、钙钛矿电池组件</w:t>
      </w:r>
      <w:r>
        <w:rPr>
          <w:rFonts w:hint="default" w:ascii="Times New Roman" w:hAnsi="Times New Roman" w:eastAsia="方正仿宋_GBK" w:cs="Times New Roman"/>
          <w:b w:val="0"/>
          <w:bCs w:val="0"/>
          <w:szCs w:val="32"/>
        </w:rPr>
        <w:t>等光伏电池制造企业。</w:t>
      </w:r>
      <w:r>
        <w:rPr>
          <w:rFonts w:hint="default" w:ascii="Times New Roman" w:hAnsi="Times New Roman" w:eastAsia="方正仿宋_GBK" w:cs="Times New Roman"/>
          <w:b w:val="0"/>
          <w:bCs w:val="0"/>
          <w:kern w:val="2"/>
          <w:sz w:val="32"/>
          <w:szCs w:val="32"/>
          <w:lang w:val="en-US" w:eastAsia="zh-CN" w:bidi="ar-SA"/>
          <w14:ligatures w14:val="none"/>
        </w:rPr>
        <w:t>加快引进光伏玻璃、银浆、涂锡焊带、</w:t>
      </w:r>
      <w:r>
        <w:rPr>
          <w:rFonts w:hint="default" w:ascii="Times New Roman" w:hAnsi="Times New Roman" w:eastAsia="方正仿宋_GBK" w:cs="Times New Roman"/>
          <w:b w:val="0"/>
          <w:bCs w:val="0"/>
          <w:szCs w:val="32"/>
        </w:rPr>
        <w:t>胶膜、</w:t>
      </w:r>
      <w:r>
        <w:rPr>
          <w:rFonts w:hint="default" w:ascii="Times New Roman" w:hAnsi="Times New Roman" w:eastAsia="方正仿宋_GBK" w:cs="Times New Roman"/>
          <w:b w:val="0"/>
          <w:bCs w:val="0"/>
          <w:kern w:val="2"/>
          <w:sz w:val="32"/>
          <w:szCs w:val="32"/>
          <w:lang w:val="en-US" w:eastAsia="zh-CN" w:bidi="ar-SA"/>
          <w14:ligatures w14:val="none"/>
        </w:rPr>
        <w:t>背板</w:t>
      </w:r>
      <w:r>
        <w:rPr>
          <w:rFonts w:hint="default" w:ascii="Times New Roman" w:hAnsi="Times New Roman" w:eastAsia="方正仿宋_GBK" w:cs="Times New Roman"/>
          <w:b w:val="0"/>
          <w:bCs w:val="0"/>
          <w:szCs w:val="32"/>
        </w:rPr>
        <w:t>、接线盒、逆变器、汇流箱</w:t>
      </w:r>
      <w:r>
        <w:rPr>
          <w:rFonts w:hint="default" w:ascii="Times New Roman" w:hAnsi="Times New Roman" w:eastAsia="方正仿宋_GBK" w:cs="Times New Roman"/>
          <w:b w:val="0"/>
          <w:bCs w:val="0"/>
          <w:kern w:val="2"/>
          <w:sz w:val="32"/>
          <w:szCs w:val="32"/>
          <w:lang w:val="en-US" w:eastAsia="zh-CN" w:bidi="ar-SA"/>
          <w14:ligatures w14:val="none"/>
        </w:rPr>
        <w:t>等配套企业和光伏生产设备企业，</w:t>
      </w:r>
      <w:r>
        <w:rPr>
          <w:rFonts w:hint="default" w:ascii="Times New Roman" w:hAnsi="Times New Roman" w:eastAsia="方正仿宋_GBK" w:cs="Times New Roman"/>
          <w:b w:val="0"/>
          <w:bCs w:val="0"/>
          <w:szCs w:val="32"/>
        </w:rPr>
        <w:t>重点招引性能好、质量优的浸镀型镀锡铜带等焊带项目，以提升光伏组件电流的收集效率和可靠性。重点招引具有与EVA良好的粘接性、电气绝缘性、防水防湿和</w:t>
      </w:r>
      <w:r>
        <w:rPr>
          <w:rFonts w:hint="eastAsia" w:eastAsia="方正仿宋_GBK" w:cs="Times New Roman"/>
          <w:b w:val="0"/>
          <w:bCs w:val="0"/>
          <w:szCs w:val="32"/>
          <w:lang w:eastAsia="zh-CN"/>
        </w:rPr>
        <w:t>耐候性</w:t>
      </w:r>
      <w:r>
        <w:rPr>
          <w:rFonts w:hint="default" w:ascii="Times New Roman" w:hAnsi="Times New Roman" w:eastAsia="方正仿宋_GBK" w:cs="Times New Roman"/>
          <w:b w:val="0"/>
          <w:bCs w:val="0"/>
          <w:szCs w:val="32"/>
        </w:rPr>
        <w:t>等功能的背板生产企业。重点招引利用选择性发射极、先进陷光技术、背面局部硼掺杂等技术的银浆项目。</w:t>
      </w:r>
    </w:p>
    <w:bookmarkEnd w:id="206"/>
    <w:p>
      <w:pPr>
        <w:pStyle w:val="11"/>
        <w:keepNext w:val="0"/>
        <w:keepLines w:val="0"/>
        <w:pageBreakBefore w:val="0"/>
        <w:widowControl w:val="0"/>
        <w:kinsoku/>
        <w:wordWrap/>
        <w:overflowPunct w:val="0"/>
        <w:topLinePunct w:val="0"/>
        <w:autoSpaceDE/>
        <w:autoSpaceDN/>
        <w:bidi w:val="0"/>
        <w:adjustRightInd/>
        <w:snapToGrid/>
        <w:spacing w:after="0" w:line="550" w:lineRule="exact"/>
        <w:ind w:firstLine="643"/>
        <w:textAlignment w:val="auto"/>
        <w:outlineLvl w:val="3"/>
        <w:rPr>
          <w:rFonts w:hint="default" w:ascii="Times New Roman" w:hAnsi="Times New Roman" w:eastAsia="方正仿宋_GBK" w:cs="Times New Roman"/>
          <w:b w:val="0"/>
          <w:bCs w:val="0"/>
          <w:szCs w:val="32"/>
        </w:rPr>
      </w:pPr>
      <w:bookmarkStart w:id="207" w:name="_Toc25907"/>
      <w:r>
        <w:rPr>
          <w:rFonts w:hint="default" w:ascii="Times New Roman" w:hAnsi="Times New Roman" w:eastAsia="方正仿宋_GBK" w:cs="Times New Roman"/>
          <w:b w:val="0"/>
          <w:bCs w:val="0"/>
          <w:szCs w:val="32"/>
        </w:rPr>
        <w:t>（2）新型储能</w:t>
      </w:r>
      <w:bookmarkEnd w:id="207"/>
    </w:p>
    <w:p>
      <w:pPr>
        <w:pStyle w:val="11"/>
        <w:keepNext w:val="0"/>
        <w:keepLines w:val="0"/>
        <w:pageBreakBefore w:val="0"/>
        <w:widowControl w:val="0"/>
        <w:kinsoku/>
        <w:wordWrap/>
        <w:overflowPunct w:val="0"/>
        <w:topLinePunct w:val="0"/>
        <w:autoSpaceDE/>
        <w:autoSpaceDN/>
        <w:bidi w:val="0"/>
        <w:adjustRightInd/>
        <w:snapToGrid/>
        <w:spacing w:after="0" w:line="550" w:lineRule="exact"/>
        <w:ind w:firstLine="640"/>
        <w:textAlignment w:val="auto"/>
        <w:rPr>
          <w:rFonts w:hint="default" w:ascii="Times New Roman" w:hAnsi="Times New Roman" w:eastAsia="方正仿宋_GBK" w:cs="Times New Roman"/>
          <w:b w:val="0"/>
          <w:bCs w:val="0"/>
          <w:szCs w:val="32"/>
        </w:rPr>
      </w:pPr>
      <w:bookmarkStart w:id="208" w:name="_Toc156925308"/>
      <w:r>
        <w:rPr>
          <w:rFonts w:hint="default" w:ascii="Times New Roman" w:hAnsi="Times New Roman" w:eastAsia="方正仿宋_GBK" w:cs="Times New Roman"/>
          <w:b w:val="0"/>
          <w:bCs w:val="0"/>
          <w:szCs w:val="32"/>
        </w:rPr>
        <w:t>大力发展低成本、高能量密度、安全环保的液流电池，鼓励企业加快开发下一代水系有机液流电池电解质、离子交换膜、电堆等核心材料部件，进一步提高电池能量密度和能量效率。大力发展储能电池，加快招引培育一批锂离子电池领域的龙头企业，大力发展超长寿命、高安全性、全气候储能锂离子电池，提升锂电池容量极限，推进新体系锂电池的研发和应用。</w:t>
      </w:r>
      <w:bookmarkEnd w:id="208"/>
      <w:bookmarkStart w:id="209" w:name="_Toc156925309"/>
      <w:r>
        <w:rPr>
          <w:rFonts w:hint="default" w:ascii="Times New Roman" w:hAnsi="Times New Roman" w:eastAsia="方正仿宋_GBK" w:cs="Times New Roman"/>
          <w:b w:val="0"/>
          <w:bCs w:val="0"/>
          <w:szCs w:val="32"/>
        </w:rPr>
        <w:t>探索发展储能装备，</w:t>
      </w:r>
      <w:bookmarkEnd w:id="209"/>
      <w:bookmarkStart w:id="210" w:name="_Toc156925310"/>
      <w:r>
        <w:rPr>
          <w:rFonts w:hint="default" w:ascii="Times New Roman" w:hAnsi="Times New Roman" w:eastAsia="方正仿宋_GBK" w:cs="Times New Roman"/>
          <w:b w:val="0"/>
          <w:bCs w:val="0"/>
          <w:szCs w:val="32"/>
        </w:rPr>
        <w:t>围绕宿迁及周边地市储能产业发展需求，招引培育一批储能设备关键零部件配套企业，探索发展储能变流器、电池管理系统、能量管理系统、柔性配电装备等关键储能部件。</w:t>
      </w:r>
      <w:bookmarkEnd w:id="210"/>
    </w:p>
    <w:p>
      <w:pPr>
        <w:pStyle w:val="11"/>
        <w:keepNext w:val="0"/>
        <w:keepLines w:val="0"/>
        <w:pageBreakBefore w:val="0"/>
        <w:widowControl w:val="0"/>
        <w:kinsoku/>
        <w:wordWrap/>
        <w:overflowPunct w:val="0"/>
        <w:topLinePunct w:val="0"/>
        <w:autoSpaceDE/>
        <w:autoSpaceDN/>
        <w:bidi w:val="0"/>
        <w:adjustRightInd/>
        <w:snapToGrid/>
        <w:spacing w:after="0" w:line="550" w:lineRule="exact"/>
        <w:ind w:firstLine="643"/>
        <w:textAlignment w:val="auto"/>
        <w:outlineLvl w:val="3"/>
        <w:rPr>
          <w:rFonts w:hint="default" w:ascii="Times New Roman" w:hAnsi="Times New Roman" w:eastAsia="方正仿宋_GBK" w:cs="Times New Roman"/>
          <w:b w:val="0"/>
          <w:bCs w:val="0"/>
          <w:szCs w:val="32"/>
        </w:rPr>
      </w:pPr>
      <w:bookmarkStart w:id="211" w:name="_Toc27810"/>
      <w:r>
        <w:rPr>
          <w:rFonts w:hint="default" w:ascii="Times New Roman" w:hAnsi="Times New Roman" w:eastAsia="方正仿宋_GBK" w:cs="Times New Roman"/>
          <w:b w:val="0"/>
          <w:bCs w:val="0"/>
          <w:szCs w:val="32"/>
        </w:rPr>
        <w:t>（3）氢能</w:t>
      </w:r>
      <w:bookmarkEnd w:id="211"/>
    </w:p>
    <w:p>
      <w:pPr>
        <w:pStyle w:val="11"/>
        <w:keepNext w:val="0"/>
        <w:keepLines w:val="0"/>
        <w:pageBreakBefore w:val="0"/>
        <w:widowControl w:val="0"/>
        <w:kinsoku/>
        <w:wordWrap/>
        <w:overflowPunct w:val="0"/>
        <w:topLinePunct w:val="0"/>
        <w:autoSpaceDE/>
        <w:autoSpaceDN/>
        <w:bidi w:val="0"/>
        <w:adjustRightInd/>
        <w:snapToGrid/>
        <w:spacing w:after="0" w:line="550" w:lineRule="exact"/>
        <w:ind w:firstLine="64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szCs w:val="32"/>
        </w:rPr>
        <w:t>大力发展氢燃料电池，积极引进和培育氢燃料电池催化剂、双极板、膜电极、气体扩散层、氢气循环泵、空气压缩机等关键材料和核心零部件企业，加快推进低成本、大功率、长寿命氢燃料电池商用化。探索发展小型化、高效率、寿命长的便携式氢燃料电池产品，发展适用于小型家用电器、笔记本电脑、手机等领域的氢燃料电池。探索发展氢能装备，探索发展适用于气态、液态、固态等不同方式的氢气储运材料和关键零部件。探索发展有机液态储氢材料、新型制储氢材料等关键零部件和材料，大力招引培育压缩机、储氢瓶、加氢机等氢气制、储、运装备领域的龙头企业。</w:t>
      </w:r>
    </w:p>
    <w:p>
      <w:pPr>
        <w:jc w:val="center"/>
        <w:rPr>
          <w:rFonts w:hint="default" w:ascii="Times New Roman" w:hAnsi="Times New Roman" w:eastAsia="方正黑体_GBK" w:cs="Times New Roman"/>
          <w:b w:val="0"/>
          <w:bCs w:val="0"/>
          <w:color w:val="000000"/>
          <w:sz w:val="24"/>
          <w:szCs w:val="24"/>
          <w14:ligatures w14:val="none"/>
        </w:rPr>
      </w:pPr>
      <w:r>
        <w:rPr>
          <w:rFonts w:hint="default" w:ascii="Times New Roman" w:hAnsi="Times New Roman" w:eastAsia="方正黑体_GBK" w:cs="Times New Roman"/>
          <w:b w:val="0"/>
          <w:bCs w:val="0"/>
          <w:color w:val="000000"/>
          <w:sz w:val="24"/>
          <w:szCs w:val="24"/>
          <w14:ligatures w14:val="none"/>
        </w:rPr>
        <w:t>表4-2  宿迁</w:t>
      </w:r>
      <w:r>
        <w:rPr>
          <w:rFonts w:hint="default" w:ascii="Times New Roman" w:hAnsi="Times New Roman" w:eastAsia="方正黑体_GBK" w:cs="Times New Roman"/>
          <w:b w:val="0"/>
          <w:bCs w:val="0"/>
          <w:sz w:val="24"/>
          <w:szCs w:val="24"/>
        </w:rPr>
        <w:t>临港</w:t>
      </w:r>
      <w:r>
        <w:rPr>
          <w:rFonts w:hint="default" w:ascii="Times New Roman" w:hAnsi="Times New Roman" w:eastAsia="方正黑体_GBK" w:cs="Times New Roman"/>
          <w:b w:val="0"/>
          <w:bCs w:val="0"/>
          <w:color w:val="000000"/>
          <w:sz w:val="24"/>
          <w:szCs w:val="24"/>
          <w14:ligatures w14:val="none"/>
        </w:rPr>
        <w:t>新能源产业布局和重点发展方向</w:t>
      </w:r>
    </w:p>
    <w:tbl>
      <w:tblPr>
        <w:tblStyle w:val="27"/>
        <w:tblW w:w="510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1230"/>
        <w:gridCol w:w="1707"/>
        <w:gridCol w:w="1620"/>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30" w:hRule="atLeast"/>
          <w:tblHeader/>
          <w:jc w:val="center"/>
        </w:trPr>
        <w:tc>
          <w:tcPr>
            <w:tcW w:w="678"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重点产业</w:t>
            </w:r>
          </w:p>
        </w:tc>
        <w:tc>
          <w:tcPr>
            <w:tcW w:w="940"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细分产业</w:t>
            </w:r>
          </w:p>
        </w:tc>
        <w:tc>
          <w:tcPr>
            <w:tcW w:w="892"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重点区县</w:t>
            </w:r>
          </w:p>
        </w:tc>
        <w:tc>
          <w:tcPr>
            <w:tcW w:w="2489"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依托载体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30" w:hRule="atLeast"/>
          <w:jc w:val="center"/>
        </w:trPr>
        <w:tc>
          <w:tcPr>
            <w:tcW w:w="678" w:type="pct"/>
            <w:vMerge w:val="restar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新能源</w:t>
            </w:r>
          </w:p>
        </w:tc>
        <w:tc>
          <w:tcPr>
            <w:tcW w:w="940" w:type="pct"/>
            <w:vMerge w:val="restart"/>
            <w:vAlign w:val="center"/>
          </w:tcPr>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光伏</w:t>
            </w:r>
          </w:p>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新型储能</w:t>
            </w:r>
          </w:p>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氢能</w:t>
            </w:r>
          </w:p>
        </w:tc>
        <w:tc>
          <w:tcPr>
            <w:tcW w:w="892"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泗洪县</w:t>
            </w:r>
          </w:p>
        </w:tc>
        <w:tc>
          <w:tcPr>
            <w:tcW w:w="2489" w:type="pct"/>
            <w:vAlign w:val="center"/>
          </w:tcPr>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泗洪经济开发区</w:t>
            </w:r>
          </w:p>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常熟泗洪工业园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30" w:hRule="atLeast"/>
          <w:jc w:val="center"/>
        </w:trPr>
        <w:tc>
          <w:tcPr>
            <w:tcW w:w="678" w:type="pct"/>
            <w:vMerge w:val="continue"/>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p>
        </w:tc>
        <w:tc>
          <w:tcPr>
            <w:tcW w:w="940" w:type="pct"/>
            <w:vMerge w:val="continue"/>
            <w:vAlign w:val="center"/>
          </w:tcPr>
          <w:p>
            <w:pPr>
              <w:pStyle w:val="39"/>
              <w:spacing w:line="240" w:lineRule="exact"/>
              <w:ind w:left="181" w:hanging="181" w:firstLineChars="0"/>
              <w:rPr>
                <w:rFonts w:hint="default" w:ascii="Times New Roman" w:hAnsi="Times New Roman" w:eastAsia="方正仿宋_GBK" w:cs="Times New Roman"/>
                <w:b w:val="0"/>
                <w:bCs w:val="0"/>
                <w:color w:val="000000"/>
                <w:szCs w:val="21"/>
                <w14:ligatures w14:val="none"/>
              </w:rPr>
            </w:pPr>
          </w:p>
        </w:tc>
        <w:tc>
          <w:tcPr>
            <w:tcW w:w="892" w:type="pc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宿豫区</w:t>
            </w:r>
          </w:p>
        </w:tc>
        <w:tc>
          <w:tcPr>
            <w:tcW w:w="2489" w:type="pct"/>
            <w:vAlign w:val="center"/>
          </w:tcPr>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宿迁高新技术产业开发区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72" w:hRule="atLeast"/>
          <w:jc w:val="center"/>
        </w:trPr>
        <w:tc>
          <w:tcPr>
            <w:tcW w:w="678"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940" w:type="pct"/>
            <w:vMerge w:val="continue"/>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p>
        </w:tc>
        <w:tc>
          <w:tcPr>
            <w:tcW w:w="892" w:type="pc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宿城区</w:t>
            </w:r>
          </w:p>
        </w:tc>
        <w:tc>
          <w:tcPr>
            <w:tcW w:w="2489" w:type="pct"/>
            <w:vAlign w:val="center"/>
          </w:tcPr>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szCs w:val="21"/>
                <w14:ligatures w14:val="none"/>
              </w:rPr>
              <w:t>运河宿迁港产业园（含恒力时尚产业园）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30" w:hRule="atLeast"/>
          <w:jc w:val="center"/>
        </w:trPr>
        <w:tc>
          <w:tcPr>
            <w:tcW w:w="678"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940" w:type="pct"/>
            <w:vMerge w:val="continue"/>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p>
        </w:tc>
        <w:tc>
          <w:tcPr>
            <w:tcW w:w="892" w:type="pc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kern w:val="0"/>
                <w:szCs w:val="21"/>
                <w14:ligatures w14:val="none"/>
              </w:rPr>
              <w:t>宿迁经开区</w:t>
            </w:r>
          </w:p>
        </w:tc>
        <w:tc>
          <w:tcPr>
            <w:tcW w:w="2489" w:type="pct"/>
            <w:vAlign w:val="center"/>
          </w:tcPr>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kern w:val="0"/>
                <w:szCs w:val="21"/>
                <w14:ligatures w14:val="none"/>
              </w:rPr>
              <w:t>宿迁经济技术开发区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9" w:hRule="atLeast"/>
          <w:jc w:val="center"/>
        </w:trPr>
        <w:tc>
          <w:tcPr>
            <w:tcW w:w="678"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940" w:type="pct"/>
            <w:vMerge w:val="continue"/>
            <w:vAlign w:val="center"/>
          </w:tcPr>
          <w:p>
            <w:pPr>
              <w:spacing w:line="240" w:lineRule="exact"/>
              <w:jc w:val="center"/>
              <w:rPr>
                <w:rFonts w:hint="default" w:ascii="Times New Roman" w:hAnsi="Times New Roman" w:eastAsia="方正仿宋_GBK" w:cs="Times New Roman"/>
                <w:b w:val="0"/>
                <w:bCs w:val="0"/>
                <w:color w:val="000000"/>
                <w:kern w:val="0"/>
                <w:szCs w:val="21"/>
                <w14:ligatures w14:val="none"/>
              </w:rPr>
            </w:pPr>
          </w:p>
        </w:tc>
        <w:tc>
          <w:tcPr>
            <w:tcW w:w="892" w:type="pct"/>
            <w:vAlign w:val="center"/>
          </w:tcPr>
          <w:p>
            <w:pPr>
              <w:spacing w:line="240" w:lineRule="exact"/>
              <w:jc w:val="center"/>
              <w:rPr>
                <w:rFonts w:hint="default" w:ascii="Times New Roman" w:hAnsi="Times New Roman" w:eastAsia="方正仿宋_GBK" w:cs="Times New Roman"/>
                <w:b w:val="0"/>
                <w:bCs w:val="0"/>
                <w:color w:val="000000"/>
                <w:szCs w:val="21"/>
                <w:lang w:eastAsia="zh-CN"/>
                <w14:ligatures w14:val="none"/>
              </w:rPr>
            </w:pPr>
            <w:r>
              <w:rPr>
                <w:rFonts w:hint="default" w:ascii="Times New Roman" w:hAnsi="Times New Roman" w:eastAsia="方正仿宋_GBK" w:cs="Times New Roman"/>
                <w:b w:val="0"/>
                <w:bCs w:val="0"/>
                <w:color w:val="000000"/>
                <w:szCs w:val="21"/>
                <w:lang w:eastAsia="zh-CN"/>
                <w14:ligatures w14:val="none"/>
              </w:rPr>
              <w:t>苏宿工业园区</w:t>
            </w:r>
          </w:p>
        </w:tc>
        <w:tc>
          <w:tcPr>
            <w:tcW w:w="2489" w:type="pct"/>
            <w:vAlign w:val="center"/>
          </w:tcPr>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苏州宿迁工业园</w:t>
            </w:r>
          </w:p>
        </w:tc>
      </w:tr>
    </w:tbl>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0"/>
        <w:textAlignment w:val="auto"/>
        <w:outlineLvl w:val="2"/>
        <w:rPr>
          <w:rFonts w:hint="default" w:ascii="Times New Roman" w:hAnsi="Times New Roman" w:eastAsia="方正楷体_GBK" w:cs="Times New Roman"/>
          <w:b w:val="0"/>
          <w:bCs w:val="0"/>
        </w:rPr>
      </w:pPr>
      <w:bookmarkStart w:id="212" w:name="_Toc31698"/>
      <w:r>
        <w:rPr>
          <w:rFonts w:hint="default" w:ascii="Times New Roman" w:hAnsi="Times New Roman" w:eastAsia="方正楷体_GBK" w:cs="Times New Roman"/>
          <w:b w:val="0"/>
          <w:bCs w:val="0"/>
        </w:rPr>
        <w:t xml:space="preserve">2. </w:t>
      </w:r>
      <w:r>
        <w:rPr>
          <w:rFonts w:hint="default" w:ascii="Times New Roman" w:hAnsi="Times New Roman" w:eastAsia="方正仿宋_GBK" w:cs="Times New Roman"/>
          <w:b w:val="0"/>
          <w:bCs w:val="0"/>
          <w:kern w:val="2"/>
          <w:sz w:val="32"/>
          <w:szCs w:val="32"/>
          <w:lang w:val="en-US" w:eastAsia="zh-CN" w:bidi="ar-SA"/>
          <w14:ligatures w14:val="standardContextual"/>
        </w:rPr>
        <w:t>新材料产业</w:t>
      </w:r>
      <w:bookmarkEnd w:id="212"/>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0"/>
        <w:textAlignment w:val="auto"/>
        <w:rPr>
          <w:rFonts w:hint="default" w:ascii="Times New Roman" w:hAnsi="Times New Roman" w:eastAsia="方正仿宋_GBK" w:cs="Times New Roman"/>
          <w:b w:val="0"/>
          <w:bCs w:val="0"/>
          <w:color w:val="000000" w:themeColor="text1"/>
          <w:szCs w:val="32"/>
          <w14:textFill>
            <w14:solidFill>
              <w14:schemeClr w14:val="tx1"/>
            </w14:solidFill>
          </w14:textFill>
        </w:rPr>
      </w:pPr>
      <w:r>
        <w:rPr>
          <w:rFonts w:hint="default" w:ascii="Times New Roman" w:hAnsi="Times New Roman" w:eastAsia="方正仿宋_GBK" w:cs="Times New Roman"/>
          <w:b w:val="0"/>
          <w:bCs w:val="0"/>
        </w:rPr>
        <w:t>以宿豫区、宿城区、</w:t>
      </w:r>
      <w:r>
        <w:rPr>
          <w:rFonts w:hint="default" w:ascii="Times New Roman" w:hAnsi="Times New Roman" w:eastAsia="方正仿宋_GBK" w:cs="Times New Roman"/>
          <w:b w:val="0"/>
          <w:bCs w:val="0"/>
          <w:color w:val="000000" w:themeColor="text1"/>
          <w:szCs w:val="32"/>
          <w14:textFill>
            <w14:solidFill>
              <w14:schemeClr w14:val="tx1"/>
            </w14:solidFill>
          </w14:textFill>
        </w:rPr>
        <w:t>沭阳县、泗洪县、</w:t>
      </w:r>
      <w:r>
        <w:rPr>
          <w:rFonts w:hint="default" w:ascii="Times New Roman" w:hAnsi="Times New Roman" w:eastAsia="方正仿宋_GBK" w:cs="Times New Roman"/>
          <w:b w:val="0"/>
          <w:bCs w:val="0"/>
          <w:color w:val="000000" w:themeColor="text1"/>
          <w:szCs w:val="32"/>
          <w:lang w:eastAsia="zh-CN"/>
          <w14:textFill>
            <w14:solidFill>
              <w14:schemeClr w14:val="tx1"/>
            </w14:solidFill>
          </w14:textFill>
        </w:rPr>
        <w:t>苏宿工业园区</w:t>
      </w:r>
      <w:r>
        <w:rPr>
          <w:rFonts w:hint="default" w:ascii="Times New Roman" w:hAnsi="Times New Roman" w:eastAsia="方正仿宋_GBK" w:cs="Times New Roman"/>
          <w:b w:val="0"/>
          <w:bCs w:val="0"/>
          <w:color w:val="000000" w:themeColor="text1"/>
          <w:szCs w:val="32"/>
          <w14:textFill>
            <w14:solidFill>
              <w14:schemeClr w14:val="tx1"/>
            </w14:solidFill>
          </w14:textFill>
        </w:rPr>
        <w:t>、</w:t>
      </w:r>
      <w:r>
        <w:rPr>
          <w:rFonts w:hint="eastAsia" w:eastAsia="方正仿宋_GBK" w:cs="Times New Roman"/>
          <w:b w:val="0"/>
          <w:bCs w:val="0"/>
          <w:color w:val="000000" w:themeColor="text1"/>
          <w:szCs w:val="32"/>
          <w:lang w:eastAsia="zh-CN"/>
          <w14:textFill>
            <w14:solidFill>
              <w14:schemeClr w14:val="tx1"/>
            </w14:solidFill>
          </w14:textFill>
        </w:rPr>
        <w:t>市湖滨新区</w:t>
      </w:r>
      <w:r>
        <w:rPr>
          <w:rFonts w:hint="default" w:ascii="Times New Roman" w:hAnsi="Times New Roman" w:eastAsia="方正仿宋_GBK" w:cs="Times New Roman"/>
          <w:b w:val="0"/>
          <w:bCs w:val="0"/>
          <w:color w:val="000000" w:themeColor="text1"/>
          <w:szCs w:val="32"/>
          <w14:textFill>
            <w14:solidFill>
              <w14:schemeClr w14:val="tx1"/>
            </w14:solidFill>
          </w14:textFill>
        </w:rPr>
        <w:t>为重点，依托</w:t>
      </w:r>
      <w:r>
        <w:rPr>
          <w:rFonts w:hint="default" w:ascii="Times New Roman" w:hAnsi="Times New Roman" w:eastAsia="方正仿宋_GBK" w:cs="Times New Roman"/>
          <w:b w:val="0"/>
          <w:bCs w:val="0"/>
          <w:color w:val="000000" w:themeColor="text1"/>
          <w:szCs w:val="32"/>
          <w:lang w:eastAsia="zh-CN"/>
          <w14:textFill>
            <w14:solidFill>
              <w14:schemeClr w14:val="tx1"/>
            </w14:solidFill>
          </w14:textFill>
        </w:rPr>
        <w:t>宿迁高新技术开发区、生态化工科技产业园、</w:t>
      </w:r>
      <w:r>
        <w:rPr>
          <w:rFonts w:hint="default" w:ascii="Times New Roman" w:hAnsi="Times New Roman" w:eastAsia="方正仿宋_GBK" w:cs="Times New Roman"/>
          <w:b w:val="0"/>
          <w:bCs w:val="0"/>
          <w:color w:val="000000" w:themeColor="text1"/>
          <w:szCs w:val="32"/>
          <w14:textFill>
            <w14:solidFill>
              <w14:schemeClr w14:val="tx1"/>
            </w14:solidFill>
          </w14:textFill>
        </w:rPr>
        <w:t>宿城经济开发区（南片区，含恒力工业园）、宿迁市高性能复合材料产业集聚区</w:t>
      </w:r>
      <w:r>
        <w:rPr>
          <w:rFonts w:hint="default" w:ascii="Times New Roman" w:hAnsi="Times New Roman" w:eastAsia="方正仿宋_GBK" w:cs="Times New Roman"/>
          <w:b w:val="0"/>
          <w:bCs w:val="0"/>
          <w:color w:val="000000" w:themeColor="text1"/>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Cs w:val="32"/>
          <w:lang w:val="en-US" w:eastAsia="zh-CN"/>
          <w14:textFill>
            <w14:solidFill>
              <w14:schemeClr w14:val="tx1"/>
            </w14:solidFill>
          </w14:textFill>
        </w:rPr>
        <w:t>朱湖临港产业园</w:t>
      </w:r>
      <w:r>
        <w:rPr>
          <w:rFonts w:hint="default" w:ascii="Times New Roman" w:hAnsi="Times New Roman" w:eastAsia="方正仿宋_GBK" w:cs="Times New Roman"/>
          <w:b w:val="0"/>
          <w:bCs w:val="0"/>
          <w:color w:val="000000" w:themeColor="text1"/>
          <w:szCs w:val="32"/>
          <w14:textFill>
            <w14:solidFill>
              <w14:schemeClr w14:val="tx1"/>
            </w14:solidFill>
          </w14:textFill>
        </w:rPr>
        <w:t>等特色园区，充分发挥京杭运河、宿连航道优势，围绕节能环保、新能源、电子信息、汽车制造等领域的高端需求，充分发挥膜材料、先进金属材料、化工新材料、功能玻璃材料等领域的基础优势，进一步提升精深加工水平，推动新材料产业实现绿色化、精细化、高端化发展。到2025年，新材料产业规模达500亿元。</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13" w:name="_Toc27263"/>
      <w:r>
        <w:rPr>
          <w:rFonts w:hint="default" w:ascii="Times New Roman" w:hAnsi="Times New Roman" w:eastAsia="方正仿宋_GBK" w:cs="Times New Roman"/>
          <w:b w:val="0"/>
          <w:bCs w:val="0"/>
          <w:szCs w:val="32"/>
        </w:rPr>
        <w:t>（1）膜材料</w:t>
      </w:r>
      <w:bookmarkEnd w:id="213"/>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巩固聚酯光学膜发展优势，大力发展石墨烯柔性显示膜、导电膜、裸眼3D光栅膜、聚酰亚胺膜、防反射硬化膜等光学膜材料。积极发展尼龙薄膜、铝塑复合膜</w:t>
      </w:r>
      <w:r>
        <w:rPr>
          <w:rFonts w:hint="eastAsia" w:eastAsia="方正仿宋_GBK" w:cs="Times New Roman"/>
          <w:b w:val="0"/>
          <w:bCs w:val="0"/>
          <w:szCs w:val="32"/>
          <w:lang w:eastAsia="zh-CN"/>
        </w:rPr>
        <w:t>、</w:t>
      </w:r>
      <w:r>
        <w:rPr>
          <w:rFonts w:hint="default" w:ascii="Times New Roman" w:hAnsi="Times New Roman" w:eastAsia="方正仿宋_GBK" w:cs="Times New Roman"/>
          <w:b w:val="0"/>
          <w:bCs w:val="0"/>
          <w:szCs w:val="32"/>
        </w:rPr>
        <w:t>防水薄膜等新型包装膜材料，引导包装膜向高附加值的医用包装、重载型包装方向发展。围绕新能源产业发展需求，重点发展太阳能电池用背板保护膜、EVA胶膜、新能源电池隔膜、铝塑膜等产品，招引培育一批用于燃料电池、储能电池和动力电池的高性能离子交换膜、质子交换膜等。拓展电子膜、水处理膜、特种工程塑料膜等功能性膜产品，推动企业开发新产品、改善膜性能，提高生物基材料等可降解材料的占比。</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14" w:name="_Toc25518"/>
      <w:r>
        <w:rPr>
          <w:rFonts w:hint="default" w:ascii="Times New Roman" w:hAnsi="Times New Roman" w:eastAsia="方正仿宋_GBK" w:cs="Times New Roman"/>
          <w:b w:val="0"/>
          <w:bCs w:val="0"/>
          <w:szCs w:val="32"/>
        </w:rPr>
        <w:t>（2）先进金属材料</w:t>
      </w:r>
      <w:bookmarkEnd w:id="214"/>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大力发展高纯度特种合金材料、纳米金属材料，不断丰富产品品类，开发下游应用产品、扩大应用范围。强化高温耐蚀合金钢等产品的技术优势，重点发展球扁钢、特殊用钢、高性能汽车钢等高性能合金材料。重点突破新合金开发关键工艺，探索发展可应用于航空航天、车体轻量化的高端铝材。大力发展纳米级、亚微米级镍粉和亚微米级、微米级铜粉、银粉、合金粉等高端金属粉体材料。大力发展高洁净度、高均匀性、轻重量、高强度的食品级钢</w:t>
      </w:r>
      <w:r>
        <w:rPr>
          <w:rFonts w:hint="default" w:ascii="Times New Roman" w:hAnsi="Times New Roman" w:eastAsia="方正仿宋_GBK" w:cs="Times New Roman"/>
          <w:b w:val="0"/>
          <w:bCs w:val="0"/>
          <w:spacing w:val="-6"/>
          <w:sz w:val="32"/>
          <w:szCs w:val="32"/>
        </w:rPr>
        <w:t>铁材料。围绕航天、船舶、汽车、机械制造、电子设备、动力电池等领域的高端需求，招引培育高端铝材、钛合金材料、纳米金属材料、高电压高容量富锂材料等产品的研发和产业化项目。</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15" w:name="_Toc6830"/>
      <w:r>
        <w:rPr>
          <w:rFonts w:hint="default" w:ascii="Times New Roman" w:hAnsi="Times New Roman" w:eastAsia="方正仿宋_GBK" w:cs="Times New Roman"/>
          <w:b w:val="0"/>
          <w:bCs w:val="0"/>
          <w:szCs w:val="32"/>
        </w:rPr>
        <w:t>（3）化工新材料</w:t>
      </w:r>
      <w:bookmarkEnd w:id="215"/>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重点依托生态化工科技产业园，借助连云港石化产业基地在烯烃、芳烃、聚酯化工等方面的原料优势，推动石化产业向下游延伸，大力发展乙烯、丙烯下游的非光气法聚碳酸酯、聚对苯二甲酸丁二醇酯、聚酰胺、聚苯醚等特种聚酯，聚酰亚胺、聚苯硫醚、聚砜等特种工程塑料。大力发展芳烃下游的ABS/SBR树脂、K树脂等树脂产品，溶聚丁苯胶、稀土顺丁胶、卤化丁基胶、异戊橡胶、乙丙橡胶、氟硅橡胶、丙烯酸橡胶等橡胶产品，以及SBS、SIS、SEBS等聚苯乙烯系列的热塑性弹性体。围绕塑料袋、餐具、农用地膜等市场需求，有序发展生物基聚酰胺、生物基多元醇及聚氨酯、二氧化碳可降解塑料（PPC）、聚己内酯（PCL）、聚丁二酸丁二醇酯（PBS）、对苯二甲酸己二酸丁二醇共聚酯（PBAT）等生物基和可降解材料。</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16" w:name="_Toc30587"/>
      <w:r>
        <w:rPr>
          <w:rFonts w:hint="default" w:ascii="Times New Roman" w:hAnsi="Times New Roman" w:eastAsia="方正仿宋_GBK" w:cs="Times New Roman"/>
          <w:b w:val="0"/>
          <w:bCs w:val="0"/>
          <w:szCs w:val="32"/>
        </w:rPr>
        <w:t>（4）功能玻璃材料</w:t>
      </w:r>
      <w:bookmarkEnd w:id="216"/>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围绕家电、光伏、建筑、汽车等领域高端需求，重点发展彩晶玻璃、超薄电子玻璃、汽车前挡玻璃、中空玻璃、智能玻璃、充电桩玻璃、黑电玻璃等功能玻璃材料。支持龙头企业巩固提升家电玻璃、日用玻璃、电子玻璃等优势产品规模和技术，进一步提高玻璃材料精深加工程度，突破材料复合技术。大力发展光伏玻璃、汽车玻璃等功能玻璃产品。</w:t>
      </w:r>
    </w:p>
    <w:p>
      <w:pPr>
        <w:jc w:val="center"/>
        <w:rPr>
          <w:rFonts w:hint="default" w:ascii="Times New Roman" w:hAnsi="Times New Roman" w:eastAsia="方正黑体_GBK" w:cs="Times New Roman"/>
          <w:b w:val="0"/>
          <w:bCs w:val="0"/>
          <w:color w:val="000000"/>
          <w:sz w:val="24"/>
          <w:szCs w:val="24"/>
          <w14:ligatures w14:val="none"/>
        </w:rPr>
      </w:pPr>
      <w:r>
        <w:rPr>
          <w:rFonts w:hint="default" w:ascii="Times New Roman" w:hAnsi="Times New Roman" w:eastAsia="方正黑体_GBK" w:cs="Times New Roman"/>
          <w:b w:val="0"/>
          <w:bCs w:val="0"/>
          <w:color w:val="000000"/>
          <w:sz w:val="24"/>
          <w:szCs w:val="24"/>
          <w14:ligatures w14:val="none"/>
        </w:rPr>
        <w:t>表4-3  宿迁</w:t>
      </w:r>
      <w:r>
        <w:rPr>
          <w:rFonts w:hint="default" w:ascii="Times New Roman" w:hAnsi="Times New Roman" w:eastAsia="方正黑体_GBK" w:cs="Times New Roman"/>
          <w:b w:val="0"/>
          <w:bCs w:val="0"/>
          <w:sz w:val="24"/>
          <w:szCs w:val="24"/>
        </w:rPr>
        <w:t>临港</w:t>
      </w:r>
      <w:r>
        <w:rPr>
          <w:rFonts w:hint="default" w:ascii="Times New Roman" w:hAnsi="Times New Roman" w:eastAsia="方正黑体_GBK" w:cs="Times New Roman"/>
          <w:b w:val="0"/>
          <w:bCs w:val="0"/>
          <w:color w:val="000000"/>
          <w:sz w:val="24"/>
          <w:szCs w:val="24"/>
          <w14:ligatures w14:val="none"/>
        </w:rPr>
        <w:t>新材料产业布局和重点发展方向</w:t>
      </w:r>
    </w:p>
    <w:tbl>
      <w:tblPr>
        <w:tblStyle w:val="27"/>
        <w:tblW w:w="50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1217"/>
        <w:gridCol w:w="1568"/>
        <w:gridCol w:w="1486"/>
        <w:gridCol w:w="4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4" w:hRule="atLeast"/>
          <w:tblHeader/>
          <w:jc w:val="center"/>
        </w:trPr>
        <w:tc>
          <w:tcPr>
            <w:tcW w:w="679"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重点产业</w:t>
            </w:r>
          </w:p>
        </w:tc>
        <w:tc>
          <w:tcPr>
            <w:tcW w:w="875"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细分产业</w:t>
            </w:r>
          </w:p>
        </w:tc>
        <w:tc>
          <w:tcPr>
            <w:tcW w:w="829"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重点区县</w:t>
            </w:r>
          </w:p>
        </w:tc>
        <w:tc>
          <w:tcPr>
            <w:tcW w:w="2615"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依托载体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38" w:hRule="atLeast"/>
          <w:jc w:val="center"/>
        </w:trPr>
        <w:tc>
          <w:tcPr>
            <w:tcW w:w="679" w:type="pct"/>
            <w:vMerge w:val="restar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新材料</w:t>
            </w:r>
          </w:p>
        </w:tc>
        <w:tc>
          <w:tcPr>
            <w:tcW w:w="875" w:type="pct"/>
            <w:vMerge w:val="restart"/>
            <w:vAlign w:val="center"/>
          </w:tcPr>
          <w:p>
            <w:pPr>
              <w:pStyle w:val="39"/>
              <w:widowControl/>
              <w:numPr>
                <w:ilvl w:val="0"/>
                <w:numId w:val="1"/>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膜材料</w:t>
            </w:r>
          </w:p>
          <w:p>
            <w:pPr>
              <w:pStyle w:val="39"/>
              <w:widowControl/>
              <w:numPr>
                <w:ilvl w:val="0"/>
                <w:numId w:val="1"/>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先进金属材料</w:t>
            </w:r>
          </w:p>
          <w:p>
            <w:pPr>
              <w:pStyle w:val="39"/>
              <w:widowControl/>
              <w:numPr>
                <w:ilvl w:val="0"/>
                <w:numId w:val="1"/>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功能玻璃材料</w:t>
            </w:r>
          </w:p>
        </w:tc>
        <w:tc>
          <w:tcPr>
            <w:tcW w:w="829"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沭阳县</w:t>
            </w:r>
          </w:p>
        </w:tc>
        <w:tc>
          <w:tcPr>
            <w:tcW w:w="2615" w:type="pct"/>
            <w:vAlign w:val="center"/>
          </w:tcPr>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szCs w:val="21"/>
                <w14:ligatures w14:val="none"/>
              </w:rPr>
              <w:t>昆沭高新技术产业园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4" w:hRule="atLeast"/>
          <w:jc w:val="center"/>
        </w:trPr>
        <w:tc>
          <w:tcPr>
            <w:tcW w:w="679" w:type="pct"/>
            <w:vMerge w:val="continue"/>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p>
        </w:tc>
        <w:tc>
          <w:tcPr>
            <w:tcW w:w="875" w:type="pct"/>
            <w:vMerge w:val="continue"/>
            <w:vAlign w:val="center"/>
          </w:tcPr>
          <w:p>
            <w:pPr>
              <w:pStyle w:val="39"/>
              <w:widowControl/>
              <w:numPr>
                <w:ilvl w:val="0"/>
                <w:numId w:val="1"/>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p>
        </w:tc>
        <w:tc>
          <w:tcPr>
            <w:tcW w:w="829" w:type="pc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kern w:val="0"/>
                <w:szCs w:val="21"/>
                <w14:ligatures w14:val="none"/>
              </w:rPr>
              <w:t>泗洪县</w:t>
            </w:r>
          </w:p>
        </w:tc>
        <w:tc>
          <w:tcPr>
            <w:tcW w:w="2615" w:type="pct"/>
            <w:vAlign w:val="center"/>
          </w:tcPr>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朱湖临港产业园</w:t>
            </w:r>
          </w:p>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泗洪经济开发区</w:t>
            </w:r>
          </w:p>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color w:val="000000"/>
                <w:szCs w:val="21"/>
                <w14:ligatures w14:val="none"/>
              </w:rPr>
              <w:t>常熟泗洪工业园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4" w:hRule="atLeast"/>
          <w:jc w:val="center"/>
        </w:trPr>
        <w:tc>
          <w:tcPr>
            <w:tcW w:w="679"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875" w:type="pct"/>
            <w:vMerge w:val="continue"/>
          </w:tcPr>
          <w:p>
            <w:pPr>
              <w:spacing w:line="240" w:lineRule="exact"/>
              <w:jc w:val="center"/>
              <w:rPr>
                <w:rFonts w:hint="default" w:ascii="Times New Roman" w:hAnsi="Times New Roman" w:eastAsia="方正仿宋_GBK" w:cs="Times New Roman"/>
                <w:b w:val="0"/>
                <w:bCs w:val="0"/>
                <w:color w:val="000000"/>
                <w:szCs w:val="21"/>
                <w14:ligatures w14:val="none"/>
              </w:rPr>
            </w:pPr>
          </w:p>
        </w:tc>
        <w:tc>
          <w:tcPr>
            <w:tcW w:w="829" w:type="pct"/>
            <w:vAlign w:val="center"/>
          </w:tcPr>
          <w:p>
            <w:pPr>
              <w:spacing w:line="240" w:lineRule="exact"/>
              <w:jc w:val="center"/>
              <w:rPr>
                <w:rFonts w:hint="default" w:ascii="Times New Roman" w:hAnsi="Times New Roman" w:eastAsia="方正黑体_GBK" w:cs="Times New Roman"/>
                <w:b w:val="0"/>
                <w:bCs w:val="0"/>
                <w:color w:val="000000"/>
                <w:szCs w:val="21"/>
                <w:lang w:eastAsia="zh-CN"/>
                <w14:ligatures w14:val="none"/>
              </w:rPr>
            </w:pPr>
            <w:r>
              <w:rPr>
                <w:rFonts w:hint="default" w:ascii="Times New Roman" w:hAnsi="Times New Roman" w:eastAsia="方正仿宋_GBK" w:cs="Times New Roman"/>
                <w:b w:val="0"/>
                <w:bCs w:val="0"/>
                <w:color w:val="000000"/>
                <w:szCs w:val="21"/>
                <w14:ligatures w14:val="none"/>
              </w:rPr>
              <w:t>宿豫区</w:t>
            </w:r>
          </w:p>
        </w:tc>
        <w:tc>
          <w:tcPr>
            <w:tcW w:w="2615" w:type="pct"/>
            <w:vAlign w:val="center"/>
          </w:tcPr>
          <w:p>
            <w:pPr>
              <w:pStyle w:val="39"/>
              <w:widowControl/>
              <w:numPr>
                <w:ilvl w:val="0"/>
                <w:numId w:val="1"/>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宿迁高新技术产业开发区</w:t>
            </w:r>
          </w:p>
          <w:p>
            <w:pPr>
              <w:pStyle w:val="39"/>
              <w:widowControl/>
              <w:numPr>
                <w:ilvl w:val="0"/>
                <w:numId w:val="1"/>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陆集临港产业园</w:t>
            </w:r>
          </w:p>
          <w:p>
            <w:pPr>
              <w:pStyle w:val="39"/>
              <w:widowControl/>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来龙工业园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4" w:hRule="atLeast"/>
          <w:jc w:val="center"/>
        </w:trPr>
        <w:tc>
          <w:tcPr>
            <w:tcW w:w="679"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875" w:type="pct"/>
            <w:vMerge w:val="continue"/>
          </w:tcPr>
          <w:p>
            <w:pPr>
              <w:spacing w:line="240" w:lineRule="exact"/>
              <w:jc w:val="center"/>
              <w:rPr>
                <w:rFonts w:hint="default" w:ascii="Times New Roman" w:hAnsi="Times New Roman" w:eastAsia="方正仿宋_GBK" w:cs="Times New Roman"/>
                <w:b w:val="0"/>
                <w:bCs w:val="0"/>
                <w:color w:val="000000"/>
                <w:szCs w:val="21"/>
                <w14:ligatures w14:val="none"/>
              </w:rPr>
            </w:pPr>
          </w:p>
        </w:tc>
        <w:tc>
          <w:tcPr>
            <w:tcW w:w="829"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宿城区</w:t>
            </w:r>
          </w:p>
        </w:tc>
        <w:tc>
          <w:tcPr>
            <w:tcW w:w="2615" w:type="pct"/>
            <w:vAlign w:val="center"/>
          </w:tcPr>
          <w:p>
            <w:pPr>
              <w:pStyle w:val="39"/>
              <w:widowControl/>
              <w:numPr>
                <w:ilvl w:val="0"/>
                <w:numId w:val="1"/>
              </w:numPr>
              <w:spacing w:line="240" w:lineRule="exact"/>
              <w:ind w:left="181" w:hanging="181" w:firstLineChars="0"/>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运河宿迁港产业园（含恒力时尚产业园）</w:t>
            </w:r>
          </w:p>
          <w:p>
            <w:pPr>
              <w:pStyle w:val="39"/>
              <w:widowControl/>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kern w:val="0"/>
                <w:szCs w:val="21"/>
                <w14:ligatures w14:val="none"/>
              </w:rPr>
              <w:t>宿城经济开发区（南片区，含恒力工业园）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6" w:hRule="atLeast"/>
          <w:jc w:val="center"/>
        </w:trPr>
        <w:tc>
          <w:tcPr>
            <w:tcW w:w="679"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875" w:type="pct"/>
            <w:vMerge w:val="continue"/>
          </w:tcPr>
          <w:p>
            <w:pPr>
              <w:spacing w:line="240" w:lineRule="exact"/>
              <w:jc w:val="center"/>
              <w:rPr>
                <w:rFonts w:hint="default" w:ascii="Times New Roman" w:hAnsi="Times New Roman" w:eastAsia="方正仿宋_GBK" w:cs="Times New Roman"/>
                <w:b w:val="0"/>
                <w:bCs w:val="0"/>
                <w:color w:val="000000"/>
                <w:kern w:val="0"/>
                <w:szCs w:val="21"/>
                <w14:ligatures w14:val="none"/>
              </w:rPr>
            </w:pPr>
          </w:p>
        </w:tc>
        <w:tc>
          <w:tcPr>
            <w:tcW w:w="829" w:type="pct"/>
            <w:vAlign w:val="center"/>
          </w:tcPr>
          <w:p>
            <w:pPr>
              <w:spacing w:line="240" w:lineRule="exact"/>
              <w:jc w:val="center"/>
              <w:rPr>
                <w:rFonts w:hint="default" w:ascii="Times New Roman" w:hAnsi="Times New Roman" w:eastAsia="方正仿宋_GBK" w:cs="Times New Roman"/>
                <w:b w:val="0"/>
                <w:bCs w:val="0"/>
                <w:color w:val="000000"/>
                <w:kern w:val="0"/>
                <w:szCs w:val="21"/>
                <w14:ligatures w14:val="none"/>
              </w:rPr>
            </w:pPr>
            <w:r>
              <w:rPr>
                <w:rFonts w:hint="eastAsia" w:ascii="Times New Roman" w:hAnsi="Times New Roman" w:eastAsia="方正仿宋_GBK" w:cs="Times New Roman"/>
                <w:b w:val="0"/>
                <w:bCs w:val="0"/>
                <w:color w:val="000000"/>
                <w:kern w:val="0"/>
                <w:szCs w:val="21"/>
                <w:lang w:eastAsia="zh-CN"/>
                <w14:ligatures w14:val="none"/>
              </w:rPr>
              <w:t>市湖滨新区</w:t>
            </w:r>
          </w:p>
        </w:tc>
        <w:tc>
          <w:tcPr>
            <w:tcW w:w="2615" w:type="pct"/>
            <w:vAlign w:val="center"/>
          </w:tcPr>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kern w:val="0"/>
                <w:szCs w:val="21"/>
                <w14:ligatures w14:val="none"/>
              </w:rPr>
              <w:t>宿迁市高性能复合材料产业集聚区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4" w:hRule="atLeast"/>
          <w:jc w:val="center"/>
        </w:trPr>
        <w:tc>
          <w:tcPr>
            <w:tcW w:w="679"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875" w:type="pct"/>
            <w:vMerge w:val="continue"/>
          </w:tcPr>
          <w:p>
            <w:pPr>
              <w:spacing w:line="240" w:lineRule="exact"/>
              <w:jc w:val="center"/>
              <w:rPr>
                <w:rFonts w:hint="default" w:ascii="Times New Roman" w:hAnsi="Times New Roman" w:eastAsia="方正仿宋_GBK" w:cs="Times New Roman"/>
                <w:b w:val="0"/>
                <w:bCs w:val="0"/>
                <w:color w:val="000000"/>
                <w:spacing w:val="-20"/>
                <w:kern w:val="0"/>
                <w:szCs w:val="21"/>
                <w14:ligatures w14:val="none"/>
              </w:rPr>
            </w:pPr>
          </w:p>
        </w:tc>
        <w:tc>
          <w:tcPr>
            <w:tcW w:w="829" w:type="pct"/>
            <w:vAlign w:val="center"/>
          </w:tcPr>
          <w:p>
            <w:pPr>
              <w:spacing w:line="240" w:lineRule="exact"/>
              <w:jc w:val="center"/>
              <w:rPr>
                <w:rFonts w:hint="eastAsia" w:ascii="Times New Roman" w:hAnsi="Times New Roman" w:eastAsia="方正仿宋_GBK" w:cs="Times New Roman"/>
                <w:b w:val="0"/>
                <w:bCs w:val="0"/>
                <w:color w:val="000000"/>
                <w:kern w:val="0"/>
                <w:szCs w:val="21"/>
                <w:lang w:eastAsia="zh-CN"/>
                <w14:ligatures w14:val="none"/>
              </w:rPr>
            </w:pPr>
            <w:r>
              <w:rPr>
                <w:rFonts w:hint="default" w:ascii="Times New Roman" w:hAnsi="Times New Roman" w:eastAsia="方正仿宋_GBK" w:cs="Times New Roman"/>
                <w:b w:val="0"/>
                <w:bCs w:val="0"/>
                <w:color w:val="000000"/>
                <w:szCs w:val="21"/>
                <w:lang w:eastAsia="zh-CN"/>
                <w14:ligatures w14:val="none"/>
              </w:rPr>
              <w:t>苏宿工业园区</w:t>
            </w:r>
          </w:p>
        </w:tc>
        <w:tc>
          <w:tcPr>
            <w:tcW w:w="2615" w:type="pct"/>
            <w:vAlign w:val="center"/>
          </w:tcPr>
          <w:p>
            <w:pPr>
              <w:pStyle w:val="39"/>
              <w:widowControl/>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kern w:val="0"/>
                <w:szCs w:val="21"/>
                <w14:ligatures w14:val="none"/>
              </w:rPr>
              <w:t>苏州宿迁工业园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39" w:hRule="atLeast"/>
          <w:jc w:val="center"/>
        </w:trPr>
        <w:tc>
          <w:tcPr>
            <w:tcW w:w="679"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875" w:type="pct"/>
            <w:vAlign w:val="center"/>
          </w:tcPr>
          <w:p>
            <w:pPr>
              <w:pStyle w:val="39"/>
              <w:widowControl/>
              <w:numPr>
                <w:ilvl w:val="0"/>
                <w:numId w:val="1"/>
              </w:numPr>
              <w:spacing w:line="240" w:lineRule="exact"/>
              <w:ind w:left="181" w:hanging="181" w:firstLineChars="0"/>
              <w:rPr>
                <w:rFonts w:hint="default" w:ascii="Times New Roman" w:hAnsi="Times New Roman" w:eastAsia="方正仿宋_GBK" w:cs="Times New Roman"/>
                <w:b w:val="0"/>
                <w:bCs w:val="0"/>
                <w:color w:val="000000"/>
                <w:spacing w:val="-20"/>
                <w:kern w:val="0"/>
                <w:szCs w:val="21"/>
                <w14:ligatures w14:val="none"/>
              </w:rPr>
            </w:pPr>
            <w:r>
              <w:rPr>
                <w:rFonts w:hint="default" w:ascii="Times New Roman" w:hAnsi="Times New Roman" w:eastAsia="方正仿宋_GBK" w:cs="Times New Roman"/>
                <w:b w:val="0"/>
                <w:bCs w:val="0"/>
                <w:color w:val="000000"/>
                <w:kern w:val="0"/>
                <w:szCs w:val="21"/>
                <w14:ligatures w14:val="none"/>
              </w:rPr>
              <w:t>化工新材料</w:t>
            </w:r>
          </w:p>
        </w:tc>
        <w:tc>
          <w:tcPr>
            <w:tcW w:w="829" w:type="pct"/>
            <w:vAlign w:val="center"/>
          </w:tcPr>
          <w:p>
            <w:pPr>
              <w:spacing w:line="240" w:lineRule="exact"/>
              <w:jc w:val="center"/>
              <w:rPr>
                <w:rFonts w:hint="default" w:ascii="Times New Roman" w:hAnsi="Times New Roman" w:eastAsia="方正仿宋_GBK" w:cs="Times New Roman"/>
                <w:b w:val="0"/>
                <w:bCs w:val="0"/>
                <w:color w:val="000000"/>
                <w:spacing w:val="-20"/>
                <w:kern w:val="0"/>
                <w:szCs w:val="21"/>
                <w14:ligatures w14:val="none"/>
              </w:rPr>
            </w:pPr>
            <w:r>
              <w:rPr>
                <w:rFonts w:hint="default" w:ascii="Times New Roman" w:hAnsi="Times New Roman" w:eastAsia="方正仿宋_GBK" w:cs="Times New Roman"/>
                <w:b w:val="0"/>
                <w:bCs w:val="0"/>
                <w:color w:val="000000"/>
                <w:szCs w:val="21"/>
                <w14:ligatures w14:val="none"/>
              </w:rPr>
              <w:t>宿豫区</w:t>
            </w:r>
          </w:p>
        </w:tc>
        <w:tc>
          <w:tcPr>
            <w:tcW w:w="2615" w:type="pct"/>
            <w:vAlign w:val="center"/>
          </w:tcPr>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生态化工科技产业园</w:t>
            </w:r>
          </w:p>
        </w:tc>
      </w:tr>
    </w:tbl>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2"/>
        <w:rPr>
          <w:rFonts w:hint="default" w:ascii="Times New Roman" w:hAnsi="Times New Roman" w:eastAsia="方正楷体_GBK" w:cs="Times New Roman"/>
          <w:b w:val="0"/>
          <w:bCs w:val="0"/>
          <w:sz w:val="32"/>
          <w:szCs w:val="32"/>
        </w:rPr>
      </w:pPr>
      <w:bookmarkStart w:id="217" w:name="_Toc24411"/>
      <w:r>
        <w:rPr>
          <w:rFonts w:hint="default" w:ascii="Times New Roman" w:hAnsi="Times New Roman" w:eastAsia="方正楷体_GBK" w:cs="Times New Roman"/>
          <w:b w:val="0"/>
          <w:bCs w:val="0"/>
          <w:sz w:val="32"/>
          <w:szCs w:val="32"/>
        </w:rPr>
        <w:t xml:space="preserve">3. </w:t>
      </w:r>
      <w:r>
        <w:rPr>
          <w:rFonts w:hint="default" w:ascii="Times New Roman" w:hAnsi="Times New Roman" w:eastAsia="方正仿宋_GBK" w:cs="Times New Roman"/>
          <w:b w:val="0"/>
          <w:bCs w:val="0"/>
          <w:kern w:val="2"/>
          <w:sz w:val="32"/>
          <w:szCs w:val="32"/>
          <w:lang w:val="en-US" w:eastAsia="zh-CN" w:bidi="ar-SA"/>
          <w14:ligatures w14:val="standardContextual"/>
        </w:rPr>
        <w:t>装备制造产业</w:t>
      </w:r>
      <w:bookmarkEnd w:id="217"/>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以宿城区、宿豫区、沭阳县、泗洪县、宿迁经开区、</w:t>
      </w:r>
      <w:r>
        <w:rPr>
          <w:rFonts w:hint="default" w:ascii="Times New Roman" w:hAnsi="Times New Roman" w:eastAsia="方正仿宋_GBK" w:cs="Times New Roman"/>
          <w:b w:val="0"/>
          <w:bCs w:val="0"/>
          <w:sz w:val="32"/>
          <w:szCs w:val="32"/>
          <w:lang w:eastAsia="zh-CN"/>
        </w:rPr>
        <w:t>苏宿工业园区</w:t>
      </w:r>
      <w:r>
        <w:rPr>
          <w:rFonts w:hint="default" w:ascii="Times New Roman" w:hAnsi="Times New Roman" w:eastAsia="方正仿宋_GBK" w:cs="Times New Roman"/>
          <w:b w:val="0"/>
          <w:bCs w:val="0"/>
          <w:sz w:val="32"/>
          <w:szCs w:val="32"/>
        </w:rPr>
        <w:t>为重点，依托陆集临港产业园、宿城经济开发区（南片区，含恒力工业园）等园区载体，充分发挥京杭运河、宿连航道等高等级内河航道优势，以“高端化、智能化、特色化”为导向，围绕“新基建”、国家重大工程建设、企业智能化改造等方面需求，发展智能制造装备、内河绿色船舶、船舶海工配套、工程机械配套等。到2025年，装备制造产业规模达</w:t>
      </w:r>
      <w:r>
        <w:rPr>
          <w:rFonts w:hint="default" w:ascii="Times New Roman" w:hAnsi="Times New Roman" w:eastAsia="方正仿宋_GBK" w:cs="Times New Roman"/>
          <w:b w:val="0"/>
          <w:bCs w:val="0"/>
          <w:sz w:val="32"/>
          <w:szCs w:val="32"/>
          <w:lang w:val="en-US" w:eastAsia="zh-CN"/>
        </w:rPr>
        <w:t>300</w:t>
      </w:r>
      <w:r>
        <w:rPr>
          <w:rFonts w:hint="default" w:ascii="Times New Roman" w:hAnsi="Times New Roman" w:eastAsia="方正仿宋_GBK" w:cs="Times New Roman"/>
          <w:b w:val="0"/>
          <w:bCs w:val="0"/>
          <w:sz w:val="32"/>
          <w:szCs w:val="32"/>
        </w:rPr>
        <w:t>亿元。</w:t>
      </w:r>
    </w:p>
    <w:p>
      <w:pPr>
        <w:pStyle w:val="11"/>
        <w:keepNext w:val="0"/>
        <w:keepLines w:val="0"/>
        <w:pageBreakBefore w:val="0"/>
        <w:widowControl w:val="0"/>
        <w:kinsoku/>
        <w:wordWrap/>
        <w:overflowPunct w:val="0"/>
        <w:topLinePunct w:val="0"/>
        <w:autoSpaceDE/>
        <w:autoSpaceDN/>
        <w:bidi w:val="0"/>
        <w:adjustRightInd/>
        <w:snapToGrid/>
        <w:spacing w:after="0" w:line="550" w:lineRule="exact"/>
        <w:ind w:firstLine="643"/>
        <w:textAlignment w:val="auto"/>
        <w:outlineLvl w:val="3"/>
        <w:rPr>
          <w:rFonts w:hint="default" w:ascii="Times New Roman" w:hAnsi="Times New Roman" w:eastAsia="方正仿宋_GBK" w:cs="Times New Roman"/>
          <w:b w:val="0"/>
          <w:bCs w:val="0"/>
          <w:szCs w:val="32"/>
        </w:rPr>
      </w:pPr>
      <w:bookmarkStart w:id="218" w:name="_Toc25042"/>
      <w:r>
        <w:rPr>
          <w:rFonts w:hint="default" w:ascii="Times New Roman" w:hAnsi="Times New Roman" w:eastAsia="方正仿宋_GBK" w:cs="Times New Roman"/>
          <w:b w:val="0"/>
          <w:bCs w:val="0"/>
          <w:szCs w:val="32"/>
        </w:rPr>
        <w:t>（1）智能制造装备</w:t>
      </w:r>
      <w:bookmarkEnd w:id="218"/>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围绕化工、食品加工、新能源、仓储物流等领域的需求，积极招引培育柔性制造、检测、装配等智能成套装备研发和产业化项目，大力发展配套的智能元器件、高精度轴承、传动装置、液气密元件及系统、模具等关键基础零部件。探索发展工业机器人、特种机器人和服务机器人等智能机器人，积极招引培育高性能减速器、高精度伺服驱动系统、先进控制器、新型智能传感器等核心零部件配套企业。探索发展功能复合化、控制智能化的高端数控机床产业，重点引进和开发五轴联动数控加工中心、大型数控成形机床、车削复合加工中心、柔性制造生产线等产品。围绕周边地区汽车产业发展需求，大力发展轮胎、悬架、仪表板等汽车零部件，探索发展新能源汽车专用的动力电池子系统、电机系统、电控系统等。</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19" w:name="_Toc19800"/>
      <w:r>
        <w:rPr>
          <w:rFonts w:hint="default" w:ascii="Times New Roman" w:hAnsi="Times New Roman" w:eastAsia="方正仿宋_GBK" w:cs="Times New Roman"/>
          <w:b w:val="0"/>
          <w:bCs w:val="0"/>
          <w:szCs w:val="32"/>
        </w:rPr>
        <w:t>（2）内河绿色船舶</w:t>
      </w:r>
      <w:bookmarkEnd w:id="219"/>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重点依托陆集临港产业园</w:t>
      </w:r>
      <w:r>
        <w:rPr>
          <w:rFonts w:hint="default" w:ascii="Times New Roman" w:hAnsi="Times New Roman" w:eastAsia="方正仿宋_GBK" w:cs="Times New Roman"/>
          <w:b w:val="0"/>
          <w:bCs w:val="0"/>
          <w:szCs w:val="32"/>
          <w:lang w:eastAsia="zh-CN"/>
        </w:rPr>
        <w:t>、洋河临港产业园</w:t>
      </w:r>
      <w:r>
        <w:rPr>
          <w:rFonts w:hint="default" w:ascii="Times New Roman" w:hAnsi="Times New Roman" w:eastAsia="方正仿宋_GBK" w:cs="Times New Roman"/>
          <w:b w:val="0"/>
          <w:bCs w:val="0"/>
          <w:szCs w:val="32"/>
        </w:rPr>
        <w:t>，抢抓绿色船舶发展机遇，围绕近海和内河运输船舶、旅游观光船舶、渔业辅助船舶、及岸电配套设施、</w:t>
      </w:r>
      <w:r>
        <w:rPr>
          <w:rFonts w:hint="default" w:ascii="Times New Roman" w:hAnsi="Times New Roman" w:eastAsia="方正仿宋_GBK" w:cs="Times New Roman"/>
          <w:b w:val="0"/>
          <w:bCs w:val="0"/>
          <w:szCs w:val="32"/>
          <w:lang w:eastAsia="zh-CN"/>
        </w:rPr>
        <w:t>船舶修造、</w:t>
      </w:r>
      <w:r>
        <w:rPr>
          <w:rFonts w:hint="default" w:ascii="Times New Roman" w:hAnsi="Times New Roman" w:eastAsia="方正仿宋_GBK" w:cs="Times New Roman"/>
          <w:b w:val="0"/>
          <w:bCs w:val="0"/>
          <w:szCs w:val="32"/>
        </w:rPr>
        <w:t>运维服务等领域，大力发展内河绿色船舶产业，招引培育一批LNG动力内河船舶制造企业。探索发展锂电、氢、氨、甲醇动力内河船舶。招引培育一批船用甲醇发动机、船用氢燃料电池动力系统、储氢系统、加注系统等领域的配套企业。加快电动船舶码头及充换电等配套设施规划和建设，大力招引一批港口岸电设施、船舶受电设施以及新能源加注站领域的配套设施企业，加快推动内河绿色船舶的推广应用。</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20" w:name="_Toc3699"/>
      <w:r>
        <w:rPr>
          <w:rFonts w:hint="default" w:ascii="Times New Roman" w:hAnsi="Times New Roman" w:eastAsia="方正仿宋_GBK" w:cs="Times New Roman"/>
          <w:b w:val="0"/>
          <w:bCs w:val="0"/>
          <w:szCs w:val="32"/>
        </w:rPr>
        <w:t>（3）船舶海工配套</w:t>
      </w:r>
      <w:bookmarkEnd w:id="220"/>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重点依托陆集临港产业园，围绕上海、南通等周边地区船舶及海洋工程装备产业的配套需求，充分发挥淮钢原材料优势，大力发展钻井包、钻井塔、动力定位系统、系泊系统、抬升系统、脐带缆等海</w:t>
      </w:r>
      <w:r>
        <w:rPr>
          <w:rFonts w:hint="default" w:ascii="Times New Roman" w:hAnsi="Times New Roman" w:eastAsia="方正仿宋_GBK" w:cs="Times New Roman"/>
          <w:b w:val="0"/>
          <w:bCs w:val="0"/>
          <w:spacing w:val="-6"/>
          <w:sz w:val="32"/>
          <w:szCs w:val="32"/>
        </w:rPr>
        <w:t>洋平台高端专用配套产品及船用发动机、锚链、甲板机械、舱室机械、通讯导航设备、电气自动化设备等船舶配套产品；大力招引培育一批船舶及海工装备配套产品集成供货商，推动配套产品集成</w:t>
      </w:r>
      <w:r>
        <w:rPr>
          <w:rFonts w:hint="default" w:ascii="Times New Roman" w:hAnsi="Times New Roman" w:eastAsia="方正仿宋_GBK" w:cs="Times New Roman"/>
          <w:b w:val="0"/>
          <w:bCs w:val="0"/>
          <w:sz w:val="32"/>
          <w:szCs w:val="32"/>
        </w:rPr>
        <w:t>化、智能化、模块化发展，掌握海工船舶关键系统配套技术，打造具有宿迁特色、省内知名的船舶海工配套自主品牌。</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21" w:name="_Toc27344"/>
      <w:r>
        <w:rPr>
          <w:rFonts w:hint="default" w:ascii="Times New Roman" w:hAnsi="Times New Roman" w:eastAsia="方正仿宋_GBK" w:cs="Times New Roman"/>
          <w:b w:val="0"/>
          <w:bCs w:val="0"/>
          <w:szCs w:val="32"/>
        </w:rPr>
        <w:t>（4）工程机械配套</w:t>
      </w:r>
      <w:bookmarkEnd w:id="221"/>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围绕徐州、常州等运河上下游城市工程机械产业发展需求，大力发展工程机械配套产业，招引培育一批发动机、变速箱、驱动桥、液压油缸、液压阀、液压泵、薄板件等工程机械关键配套件领域的龙头骨干企业。探索发展港口装备产业，围绕宿迁及上海、南通等周边重点港口建设发展需求，招引一批港口起重机械、输送机械、装卸机械、辅助设备等领域的龙头骨干企业。加快无人驾驶、远程控制、云计算等新技术在港口装备中的应用，加快开发</w:t>
      </w:r>
      <w:r>
        <w:rPr>
          <w:rFonts w:hint="default" w:ascii="Times New Roman" w:hAnsi="Times New Roman" w:eastAsia="方正仿宋_GBK" w:cs="Times New Roman"/>
          <w:b w:val="0"/>
          <w:bCs w:val="0"/>
          <w:spacing w:val="-6"/>
          <w:sz w:val="32"/>
          <w:szCs w:val="32"/>
        </w:rPr>
        <w:t>可适用于多种货物和船舶类型的通用型或专用型港口设备。支持港口装备相关企</w:t>
      </w:r>
      <w:r>
        <w:rPr>
          <w:rFonts w:hint="default" w:ascii="Times New Roman" w:hAnsi="Times New Roman" w:eastAsia="方正仿宋_GBK" w:cs="Times New Roman"/>
          <w:b w:val="0"/>
          <w:bCs w:val="0"/>
          <w:sz w:val="32"/>
          <w:szCs w:val="32"/>
        </w:rPr>
        <w:t>业提供设计咨询、安装调试、运营维护等服务。</w:t>
      </w:r>
    </w:p>
    <w:p>
      <w:pPr>
        <w:spacing w:before="156" w:beforeLines="50"/>
        <w:jc w:val="center"/>
        <w:rPr>
          <w:rFonts w:hint="default" w:ascii="Times New Roman" w:hAnsi="Times New Roman" w:eastAsia="方正黑体_GBK" w:cs="Times New Roman"/>
          <w:b w:val="0"/>
          <w:bCs w:val="0"/>
          <w:color w:val="000000"/>
          <w:sz w:val="24"/>
          <w:szCs w:val="24"/>
          <w14:ligatures w14:val="none"/>
        </w:rPr>
      </w:pPr>
      <w:r>
        <w:rPr>
          <w:rFonts w:hint="default" w:ascii="Times New Roman" w:hAnsi="Times New Roman" w:eastAsia="方正黑体_GBK" w:cs="Times New Roman"/>
          <w:b w:val="0"/>
          <w:bCs w:val="0"/>
          <w:color w:val="000000"/>
          <w:sz w:val="24"/>
          <w:szCs w:val="24"/>
          <w14:ligatures w14:val="none"/>
        </w:rPr>
        <w:t>表4-4  宿迁</w:t>
      </w:r>
      <w:r>
        <w:rPr>
          <w:rFonts w:hint="default" w:ascii="Times New Roman" w:hAnsi="Times New Roman" w:eastAsia="方正黑体_GBK" w:cs="Times New Roman"/>
          <w:b w:val="0"/>
          <w:bCs w:val="0"/>
          <w:sz w:val="24"/>
          <w:szCs w:val="24"/>
        </w:rPr>
        <w:t>临港</w:t>
      </w:r>
      <w:r>
        <w:rPr>
          <w:rFonts w:hint="default" w:ascii="Times New Roman" w:hAnsi="Times New Roman" w:eastAsia="方正黑体_GBK" w:cs="Times New Roman"/>
          <w:b w:val="0"/>
          <w:bCs w:val="0"/>
          <w:color w:val="000000"/>
          <w:sz w:val="24"/>
          <w:szCs w:val="24"/>
          <w14:ligatures w14:val="none"/>
        </w:rPr>
        <w:t>装备制造</w:t>
      </w:r>
      <w:r>
        <w:rPr>
          <w:rFonts w:hint="default" w:ascii="Times New Roman" w:hAnsi="Times New Roman" w:eastAsia="方正黑体_GBK" w:cs="Times New Roman"/>
          <w:b w:val="0"/>
          <w:bCs w:val="0"/>
          <w:color w:val="000000"/>
          <w:sz w:val="24"/>
          <w:szCs w:val="24"/>
          <w:lang w:eastAsia="zh-CN"/>
          <w14:ligatures w14:val="none"/>
        </w:rPr>
        <w:t>产业</w:t>
      </w:r>
      <w:r>
        <w:rPr>
          <w:rFonts w:hint="default" w:ascii="Times New Roman" w:hAnsi="Times New Roman" w:eastAsia="方正黑体_GBK" w:cs="Times New Roman"/>
          <w:b w:val="0"/>
          <w:bCs w:val="0"/>
          <w:color w:val="000000"/>
          <w:sz w:val="24"/>
          <w:szCs w:val="24"/>
          <w14:ligatures w14:val="none"/>
        </w:rPr>
        <w:t>布局和重点发展方向</w:t>
      </w:r>
    </w:p>
    <w:tbl>
      <w:tblPr>
        <w:tblStyle w:val="27"/>
        <w:tblW w:w="49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2057"/>
        <w:gridCol w:w="1636"/>
        <w:gridCol w:w="3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blHeader/>
          <w:jc w:val="center"/>
        </w:trPr>
        <w:tc>
          <w:tcPr>
            <w:tcW w:w="822"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重点产业</w:t>
            </w:r>
          </w:p>
        </w:tc>
        <w:tc>
          <w:tcPr>
            <w:tcW w:w="1148"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细分产业</w:t>
            </w:r>
          </w:p>
        </w:tc>
        <w:tc>
          <w:tcPr>
            <w:tcW w:w="913"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重点区县</w:t>
            </w:r>
          </w:p>
        </w:tc>
        <w:tc>
          <w:tcPr>
            <w:tcW w:w="2116"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依托载体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22" w:type="pct"/>
            <w:vMerge w:val="restar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装备制造</w:t>
            </w:r>
          </w:p>
        </w:tc>
        <w:tc>
          <w:tcPr>
            <w:tcW w:w="1148" w:type="pct"/>
            <w:vMerge w:val="restart"/>
            <w:vAlign w:val="center"/>
          </w:tcPr>
          <w:p>
            <w:pPr>
              <w:pStyle w:val="39"/>
              <w:numPr>
                <w:ilvl w:val="0"/>
                <w:numId w:val="2"/>
              </w:numPr>
              <w:spacing w:line="240" w:lineRule="exact"/>
              <w:ind w:left="179" w:hanging="179"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智能制造装备</w:t>
            </w:r>
          </w:p>
          <w:p>
            <w:pPr>
              <w:pStyle w:val="39"/>
              <w:numPr>
                <w:ilvl w:val="0"/>
                <w:numId w:val="2"/>
              </w:numPr>
              <w:spacing w:line="240" w:lineRule="exact"/>
              <w:ind w:left="179" w:hanging="179"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工程机械配套</w:t>
            </w:r>
          </w:p>
        </w:tc>
        <w:tc>
          <w:tcPr>
            <w:tcW w:w="913" w:type="pc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kern w:val="0"/>
                <w:szCs w:val="21"/>
                <w14:ligatures w14:val="none"/>
              </w:rPr>
              <w:t>沭阳县</w:t>
            </w:r>
          </w:p>
        </w:tc>
        <w:tc>
          <w:tcPr>
            <w:tcW w:w="2116" w:type="pct"/>
            <w:vAlign w:val="center"/>
          </w:tcPr>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沭阳经济技术开发区</w:t>
            </w:r>
          </w:p>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pacing w:val="-6"/>
                <w:szCs w:val="21"/>
                <w14:ligatures w14:val="none"/>
              </w:rPr>
            </w:pPr>
            <w:r>
              <w:rPr>
                <w:rFonts w:hint="default" w:ascii="Times New Roman" w:hAnsi="Times New Roman" w:eastAsia="方正仿宋_GBK" w:cs="Times New Roman"/>
                <w:b w:val="0"/>
                <w:bCs w:val="0"/>
                <w:color w:val="000000"/>
                <w:kern w:val="0"/>
                <w:szCs w:val="21"/>
                <w14:ligatures w14:val="none"/>
              </w:rPr>
              <w:t>马厂镇机械产业园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822" w:type="pct"/>
            <w:vMerge w:val="continue"/>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p>
        </w:tc>
        <w:tc>
          <w:tcPr>
            <w:tcW w:w="1148" w:type="pct"/>
            <w:vMerge w:val="continue"/>
            <w:vAlign w:val="center"/>
          </w:tcPr>
          <w:p>
            <w:pPr>
              <w:pStyle w:val="39"/>
              <w:numPr>
                <w:ilvl w:val="0"/>
                <w:numId w:val="2"/>
              </w:numPr>
              <w:spacing w:line="240" w:lineRule="exact"/>
              <w:ind w:left="179" w:hanging="179" w:firstLineChars="0"/>
              <w:rPr>
                <w:rFonts w:hint="default" w:ascii="Times New Roman" w:hAnsi="Times New Roman" w:eastAsia="方正仿宋_GBK" w:cs="Times New Roman"/>
                <w:b w:val="0"/>
                <w:bCs w:val="0"/>
                <w:color w:val="000000"/>
                <w:szCs w:val="21"/>
                <w14:ligatures w14:val="none"/>
              </w:rPr>
            </w:pPr>
          </w:p>
        </w:tc>
        <w:tc>
          <w:tcPr>
            <w:tcW w:w="913" w:type="pct"/>
            <w:vAlign w:val="center"/>
          </w:tcPr>
          <w:p>
            <w:pPr>
              <w:spacing w:line="240" w:lineRule="exact"/>
              <w:jc w:val="center"/>
              <w:rPr>
                <w:rFonts w:hint="default" w:ascii="Times New Roman" w:hAnsi="Times New Roman" w:eastAsia="方正仿宋_GBK" w:cs="Times New Roman"/>
                <w:b w:val="0"/>
                <w:bCs w:val="0"/>
                <w:color w:val="000000"/>
                <w:szCs w:val="21"/>
                <w:lang w:eastAsia="zh-CN"/>
                <w14:ligatures w14:val="none"/>
              </w:rPr>
            </w:pPr>
            <w:r>
              <w:rPr>
                <w:rFonts w:hint="default" w:ascii="Times New Roman" w:hAnsi="Times New Roman" w:eastAsia="方正仿宋_GBK" w:cs="Times New Roman"/>
                <w:b w:val="0"/>
                <w:bCs w:val="0"/>
                <w:color w:val="000000"/>
                <w:kern w:val="0"/>
                <w:szCs w:val="21"/>
                <w14:ligatures w14:val="none"/>
              </w:rPr>
              <w:t>泗洪县</w:t>
            </w:r>
          </w:p>
        </w:tc>
        <w:tc>
          <w:tcPr>
            <w:tcW w:w="2116" w:type="pct"/>
            <w:vAlign w:val="center"/>
          </w:tcPr>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kern w:val="0"/>
                <w:szCs w:val="21"/>
                <w14:ligatures w14:val="none"/>
              </w:rPr>
              <w:t>泗洪经济开发区</w:t>
            </w:r>
          </w:p>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kern w:val="0"/>
                <w:szCs w:val="21"/>
                <w14:ligatures w14:val="none"/>
              </w:rPr>
              <w:t>常熟泗洪工业园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822"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1148" w:type="pct"/>
            <w:vMerge w:val="continue"/>
          </w:tcPr>
          <w:p>
            <w:pPr>
              <w:spacing w:line="240" w:lineRule="exact"/>
              <w:jc w:val="center"/>
              <w:rPr>
                <w:rFonts w:hint="default" w:ascii="Times New Roman" w:hAnsi="Times New Roman" w:eastAsia="方正仿宋_GBK" w:cs="Times New Roman"/>
                <w:b w:val="0"/>
                <w:bCs w:val="0"/>
                <w:color w:val="000000"/>
                <w:szCs w:val="21"/>
                <w14:ligatures w14:val="none"/>
              </w:rPr>
            </w:pPr>
          </w:p>
        </w:tc>
        <w:tc>
          <w:tcPr>
            <w:tcW w:w="913" w:type="pc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宿豫区</w:t>
            </w:r>
          </w:p>
        </w:tc>
        <w:tc>
          <w:tcPr>
            <w:tcW w:w="2116" w:type="pct"/>
            <w:vAlign w:val="center"/>
          </w:tcPr>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宿迁高新技术产业开发区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22"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1148" w:type="pct"/>
            <w:vMerge w:val="continue"/>
          </w:tcPr>
          <w:p>
            <w:pPr>
              <w:spacing w:line="240" w:lineRule="exact"/>
              <w:jc w:val="center"/>
              <w:rPr>
                <w:rFonts w:hint="default" w:ascii="Times New Roman" w:hAnsi="Times New Roman" w:eastAsia="方正仿宋_GBK" w:cs="Times New Roman"/>
                <w:b w:val="0"/>
                <w:bCs w:val="0"/>
                <w:color w:val="000000"/>
                <w:kern w:val="0"/>
                <w:szCs w:val="21"/>
                <w14:ligatures w14:val="none"/>
              </w:rPr>
            </w:pPr>
          </w:p>
        </w:tc>
        <w:tc>
          <w:tcPr>
            <w:tcW w:w="913" w:type="pct"/>
            <w:vAlign w:val="center"/>
          </w:tcPr>
          <w:p>
            <w:pPr>
              <w:spacing w:line="240" w:lineRule="exact"/>
              <w:jc w:val="center"/>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szCs w:val="21"/>
                <w14:ligatures w14:val="none"/>
              </w:rPr>
              <w:t>宿城区</w:t>
            </w:r>
          </w:p>
        </w:tc>
        <w:tc>
          <w:tcPr>
            <w:tcW w:w="2116" w:type="pct"/>
            <w:vAlign w:val="center"/>
          </w:tcPr>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szCs w:val="21"/>
                <w14:ligatures w14:val="none"/>
              </w:rPr>
              <w:t>宿城经济开发区（南片区，含恒力工业园）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22"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1148" w:type="pct"/>
            <w:vMerge w:val="continue"/>
          </w:tcPr>
          <w:p>
            <w:pPr>
              <w:spacing w:line="240" w:lineRule="exact"/>
              <w:jc w:val="center"/>
              <w:rPr>
                <w:rFonts w:hint="default" w:ascii="Times New Roman" w:hAnsi="Times New Roman" w:eastAsia="方正仿宋_GBK" w:cs="Times New Roman"/>
                <w:b w:val="0"/>
                <w:bCs w:val="0"/>
                <w:color w:val="000000"/>
                <w:kern w:val="0"/>
                <w:szCs w:val="21"/>
                <w14:ligatures w14:val="none"/>
              </w:rPr>
            </w:pPr>
          </w:p>
        </w:tc>
        <w:tc>
          <w:tcPr>
            <w:tcW w:w="913" w:type="pc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kern w:val="0"/>
                <w:szCs w:val="21"/>
                <w14:ligatures w14:val="none"/>
              </w:rPr>
              <w:t>宿迁经开区</w:t>
            </w:r>
          </w:p>
        </w:tc>
        <w:tc>
          <w:tcPr>
            <w:tcW w:w="2116" w:type="pct"/>
            <w:vAlign w:val="center"/>
          </w:tcPr>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kern w:val="0"/>
                <w:szCs w:val="21"/>
                <w14:ligatures w14:val="none"/>
              </w:rPr>
              <w:t>宿迁经济技术开发区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822"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1148" w:type="pct"/>
            <w:vMerge w:val="continue"/>
          </w:tcPr>
          <w:p>
            <w:pPr>
              <w:spacing w:line="240" w:lineRule="exact"/>
              <w:jc w:val="center"/>
              <w:rPr>
                <w:rFonts w:hint="default" w:ascii="Times New Roman" w:hAnsi="Times New Roman" w:eastAsia="方正仿宋_GBK" w:cs="Times New Roman"/>
                <w:b w:val="0"/>
                <w:bCs w:val="0"/>
                <w:color w:val="000000"/>
                <w:kern w:val="0"/>
                <w:szCs w:val="21"/>
                <w14:ligatures w14:val="none"/>
              </w:rPr>
            </w:pPr>
          </w:p>
        </w:tc>
        <w:tc>
          <w:tcPr>
            <w:tcW w:w="913" w:type="pc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lang w:eastAsia="zh-CN"/>
                <w14:ligatures w14:val="none"/>
              </w:rPr>
              <w:t>苏宿工业园区</w:t>
            </w:r>
          </w:p>
        </w:tc>
        <w:tc>
          <w:tcPr>
            <w:tcW w:w="2116" w:type="pct"/>
            <w:vAlign w:val="center"/>
          </w:tcPr>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苏州宿迁工业园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822"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1148" w:type="pct"/>
            <w:vMerge w:val="restart"/>
            <w:vAlign w:val="center"/>
          </w:tcPr>
          <w:p>
            <w:pPr>
              <w:pStyle w:val="39"/>
              <w:numPr>
                <w:ilvl w:val="0"/>
                <w:numId w:val="2"/>
              </w:numPr>
              <w:spacing w:line="240" w:lineRule="exact"/>
              <w:ind w:left="179" w:hanging="179"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内河绿色船舶</w:t>
            </w:r>
          </w:p>
          <w:p>
            <w:pPr>
              <w:pStyle w:val="39"/>
              <w:numPr>
                <w:ilvl w:val="0"/>
                <w:numId w:val="2"/>
              </w:numPr>
              <w:spacing w:line="240" w:lineRule="exact"/>
              <w:ind w:left="179" w:hanging="179"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szCs w:val="21"/>
                <w14:ligatures w14:val="none"/>
              </w:rPr>
              <w:t>船舶海工配套</w:t>
            </w:r>
          </w:p>
        </w:tc>
        <w:tc>
          <w:tcPr>
            <w:tcW w:w="913" w:type="pct"/>
            <w:vAlign w:val="center"/>
          </w:tcPr>
          <w:p>
            <w:pPr>
              <w:spacing w:line="240" w:lineRule="exact"/>
              <w:jc w:val="center"/>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szCs w:val="21"/>
                <w14:ligatures w14:val="none"/>
              </w:rPr>
              <w:t>宿豫区</w:t>
            </w:r>
          </w:p>
        </w:tc>
        <w:tc>
          <w:tcPr>
            <w:tcW w:w="2116" w:type="pct"/>
            <w:vAlign w:val="center"/>
          </w:tcPr>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szCs w:val="21"/>
                <w14:ligatures w14:val="none"/>
              </w:rPr>
              <w:t>陆集临港产业园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22"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1148" w:type="pct"/>
            <w:vMerge w:val="continue"/>
            <w:vAlign w:val="center"/>
          </w:tcPr>
          <w:p>
            <w:pPr>
              <w:pStyle w:val="39"/>
              <w:spacing w:line="240" w:lineRule="exact"/>
              <w:ind w:left="179" w:hanging="179" w:firstLineChars="0"/>
              <w:rPr>
                <w:rFonts w:hint="default" w:ascii="Times New Roman" w:hAnsi="Times New Roman" w:eastAsia="方正仿宋_GBK" w:cs="Times New Roman"/>
                <w:b w:val="0"/>
                <w:bCs w:val="0"/>
                <w:color w:val="000000"/>
                <w:szCs w:val="21"/>
                <w14:ligatures w14:val="none"/>
              </w:rPr>
            </w:pPr>
          </w:p>
        </w:tc>
        <w:tc>
          <w:tcPr>
            <w:tcW w:w="913" w:type="pct"/>
            <w:vAlign w:val="center"/>
          </w:tcPr>
          <w:p>
            <w:pPr>
              <w:spacing w:line="240" w:lineRule="exact"/>
              <w:jc w:val="center"/>
              <w:rPr>
                <w:rFonts w:hint="default" w:ascii="Times New Roman" w:hAnsi="Times New Roman" w:eastAsia="方正仿宋_GBK" w:cs="Times New Roman"/>
                <w:b w:val="0"/>
                <w:bCs w:val="0"/>
                <w:color w:val="000000"/>
                <w:szCs w:val="21"/>
                <w:lang w:eastAsia="zh-CN"/>
                <w14:ligatures w14:val="none"/>
              </w:rPr>
            </w:pPr>
            <w:r>
              <w:rPr>
                <w:rFonts w:hint="eastAsia" w:ascii="Times New Roman" w:hAnsi="Times New Roman" w:eastAsia="方正仿宋_GBK" w:cs="Times New Roman"/>
                <w:b w:val="0"/>
                <w:bCs w:val="0"/>
                <w:color w:val="000000"/>
                <w:szCs w:val="21"/>
                <w:lang w:eastAsia="zh-CN"/>
                <w14:ligatures w14:val="none"/>
              </w:rPr>
              <w:t>市洋河新区</w:t>
            </w:r>
          </w:p>
        </w:tc>
        <w:tc>
          <w:tcPr>
            <w:tcW w:w="2116" w:type="pct"/>
            <w:vAlign w:val="center"/>
          </w:tcPr>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szCs w:val="21"/>
                <w:lang w:eastAsia="zh-CN"/>
                <w14:ligatures w14:val="none"/>
              </w:rPr>
            </w:pPr>
            <w:r>
              <w:rPr>
                <w:rFonts w:hint="default" w:ascii="Times New Roman" w:hAnsi="Times New Roman" w:eastAsia="方正仿宋_GBK" w:cs="Times New Roman"/>
                <w:b w:val="0"/>
                <w:bCs w:val="0"/>
                <w:color w:val="000000"/>
                <w:szCs w:val="21"/>
                <w:lang w:eastAsia="zh-CN"/>
                <w14:ligatures w14:val="none"/>
              </w:rPr>
              <w:t>洋河临港产业园</w:t>
            </w:r>
          </w:p>
        </w:tc>
      </w:tr>
    </w:tbl>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2"/>
        <w:rPr>
          <w:rFonts w:hint="default" w:ascii="Times New Roman" w:hAnsi="Times New Roman" w:eastAsia="方正楷体_GBK" w:cs="Times New Roman"/>
          <w:b w:val="0"/>
          <w:bCs w:val="0"/>
          <w:sz w:val="32"/>
          <w:szCs w:val="32"/>
        </w:rPr>
      </w:pPr>
      <w:bookmarkStart w:id="222" w:name="_Toc13979"/>
      <w:r>
        <w:rPr>
          <w:rFonts w:hint="default" w:ascii="Times New Roman" w:hAnsi="Times New Roman" w:eastAsia="方正黑体_GBK" w:cs="Times New Roman"/>
          <w:b w:val="0"/>
          <w:bCs w:val="0"/>
          <w:sz w:val="32"/>
          <w:szCs w:val="32"/>
        </w:rPr>
        <w:t xml:space="preserve">4. </w:t>
      </w:r>
      <w:r>
        <w:rPr>
          <w:rFonts w:hint="default" w:ascii="Times New Roman" w:hAnsi="Times New Roman" w:eastAsia="方正仿宋_GBK" w:cs="Times New Roman"/>
          <w:b w:val="0"/>
          <w:bCs w:val="0"/>
          <w:kern w:val="2"/>
          <w:sz w:val="32"/>
          <w:szCs w:val="32"/>
          <w:lang w:val="en-US" w:eastAsia="zh-CN" w:bidi="ar-SA"/>
          <w14:ligatures w14:val="standardContextual"/>
        </w:rPr>
        <w:t>绿色循环产业</w:t>
      </w:r>
      <w:bookmarkEnd w:id="222"/>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以宿豫区、沭阳县、泗阳县为重点，依托来龙工业园、沭阳经济技术开发区</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泗阳经济开发区等重点园区，充分利用宿迁及周边城市在光伏、新能源、汽车等领域的废旧资源，大力发展光伏装备回收利用、动力电池梯次利用、汽车拆解利用等绿色循环产业，发挥京杭运河、宿连航道等高等级航道水路运输优势，降低废旧资源回收运输成本，逐步构建起对废旧资源高效利用的绿色循环产业。到2025年，绿色循环产业规模达到100亿元。</w:t>
      </w:r>
    </w:p>
    <w:p>
      <w:pPr>
        <w:pStyle w:val="11"/>
        <w:keepNext w:val="0"/>
        <w:keepLines w:val="0"/>
        <w:pageBreakBefore w:val="0"/>
        <w:widowControl w:val="0"/>
        <w:kinsoku/>
        <w:wordWrap/>
        <w:overflowPunct/>
        <w:topLinePunct w:val="0"/>
        <w:autoSpaceDE/>
        <w:autoSpaceDN/>
        <w:bidi w:val="0"/>
        <w:adjustRightInd/>
        <w:snapToGrid/>
        <w:spacing w:after="0" w:line="550" w:lineRule="exact"/>
        <w:ind w:firstLine="643"/>
        <w:textAlignment w:val="auto"/>
        <w:outlineLvl w:val="3"/>
        <w:rPr>
          <w:rFonts w:hint="default" w:ascii="Times New Roman" w:hAnsi="Times New Roman" w:eastAsia="方正仿宋_GBK" w:cs="Times New Roman"/>
          <w:b w:val="0"/>
          <w:bCs w:val="0"/>
          <w:szCs w:val="32"/>
        </w:rPr>
      </w:pPr>
      <w:bookmarkStart w:id="223" w:name="_Toc12485"/>
      <w:r>
        <w:rPr>
          <w:rFonts w:hint="default" w:ascii="Times New Roman" w:hAnsi="Times New Roman" w:eastAsia="方正仿宋_GBK" w:cs="Times New Roman"/>
          <w:b w:val="0"/>
          <w:bCs w:val="0"/>
          <w:szCs w:val="32"/>
        </w:rPr>
        <w:t>（1）光伏装备循环利用</w:t>
      </w:r>
      <w:bookmarkEnd w:id="223"/>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探索构建光伏设备循环利用体系，大力招引光伏设备和组件的精细化拆解和高水平再生利用项目。支持光伏设备制造企业通过自主回收、联合回收或委托回收等模式，建立分布式光伏回收体系，鼓励风电、光伏设备制造企业主动提供回收服务。支持龙头企业针对复杂材料加快形成再生利用产业化能力，重点聚焦光伏板、光伏层压件、边框、接线盒等部件开展高水平再生利用，探索兼顾经济性、环保性的再生利用先进技术和商业模式。</w:t>
      </w:r>
    </w:p>
    <w:p>
      <w:pPr>
        <w:pStyle w:val="11"/>
        <w:keepNext w:val="0"/>
        <w:keepLines w:val="0"/>
        <w:pageBreakBefore w:val="0"/>
        <w:widowControl w:val="0"/>
        <w:kinsoku/>
        <w:wordWrap/>
        <w:overflowPunct/>
        <w:topLinePunct w:val="0"/>
        <w:autoSpaceDE/>
        <w:autoSpaceDN/>
        <w:bidi w:val="0"/>
        <w:adjustRightInd/>
        <w:snapToGrid/>
        <w:spacing w:after="0" w:line="550" w:lineRule="exact"/>
        <w:ind w:firstLine="643"/>
        <w:textAlignment w:val="auto"/>
        <w:outlineLvl w:val="3"/>
        <w:rPr>
          <w:rFonts w:hint="default" w:ascii="Times New Roman" w:hAnsi="Times New Roman" w:eastAsia="方正仿宋_GBK" w:cs="Times New Roman"/>
          <w:b w:val="0"/>
          <w:bCs w:val="0"/>
          <w:szCs w:val="32"/>
        </w:rPr>
      </w:pPr>
      <w:bookmarkStart w:id="224" w:name="_Toc26906"/>
      <w:r>
        <w:rPr>
          <w:rFonts w:hint="default" w:ascii="Times New Roman" w:hAnsi="Times New Roman" w:eastAsia="方正仿宋_GBK" w:cs="Times New Roman"/>
          <w:b w:val="0"/>
          <w:bCs w:val="0"/>
          <w:szCs w:val="32"/>
        </w:rPr>
        <w:t>（2）动力电池梯次利用</w:t>
      </w:r>
      <w:bookmarkEnd w:id="224"/>
    </w:p>
    <w:p>
      <w:pPr>
        <w:keepNext w:val="0"/>
        <w:keepLines w:val="0"/>
        <w:pageBreakBefore w:val="0"/>
        <w:widowControl w:val="0"/>
        <w:kinsoku/>
        <w:wordWrap/>
        <w:overflowPunct/>
        <w:topLinePunct w:val="0"/>
        <w:autoSpaceDE/>
        <w:autoSpaceDN/>
        <w:bidi w:val="0"/>
        <w:adjustRightInd/>
        <w:snapToGrid/>
        <w:spacing w:line="550" w:lineRule="exact"/>
        <w:ind w:firstLine="616" w:firstLineChars="200"/>
        <w:textAlignment w:val="auto"/>
        <w:rPr>
          <w:rFonts w:hint="default" w:ascii="Times New Roman" w:hAnsi="Times New Roman" w:eastAsia="方正仿宋_GBK" w:cs="Times New Roman"/>
          <w:b w:val="0"/>
          <w:bCs w:val="0"/>
          <w:color w:val="000000"/>
          <w:spacing w:val="-6"/>
          <w:sz w:val="32"/>
          <w:szCs w:val="32"/>
          <w14:ligatures w14:val="none"/>
        </w:rPr>
      </w:pPr>
      <w:r>
        <w:rPr>
          <w:rFonts w:hint="default" w:ascii="Times New Roman" w:hAnsi="Times New Roman" w:eastAsia="方正仿宋_GBK" w:cs="Times New Roman"/>
          <w:b w:val="0"/>
          <w:bCs w:val="0"/>
          <w:color w:val="000000"/>
          <w:spacing w:val="-6"/>
          <w:sz w:val="32"/>
          <w:szCs w:val="32"/>
          <w14:ligatures w14:val="none"/>
        </w:rPr>
        <w:t>探索发展动力电池梯次利用产业，鼓励新能源汽车生产企业、动力电池生产企业与梯次利用企业合作开展动力电池的评估检测、拆解回收、梯次利用。持续推广应用退役电池综合利用先进技术和装备，鼓励企业对废旧动力电池优先进行包（组）、模块级别的梯次利用。鼓励动力电池梯次利用企业探索采用租赁、规模化利用等便于梯次产品回收的商业模式，研发生产适用于基站备电、储能、充换电等领域的梯次产品。</w:t>
      </w:r>
    </w:p>
    <w:p>
      <w:pPr>
        <w:pStyle w:val="11"/>
        <w:keepNext w:val="0"/>
        <w:keepLines w:val="0"/>
        <w:pageBreakBefore w:val="0"/>
        <w:widowControl w:val="0"/>
        <w:kinsoku/>
        <w:wordWrap/>
        <w:overflowPunct/>
        <w:topLinePunct w:val="0"/>
        <w:autoSpaceDE/>
        <w:autoSpaceDN/>
        <w:bidi w:val="0"/>
        <w:adjustRightInd/>
        <w:snapToGrid/>
        <w:spacing w:after="0" w:line="550" w:lineRule="exact"/>
        <w:ind w:firstLine="643"/>
        <w:textAlignment w:val="auto"/>
        <w:outlineLvl w:val="3"/>
        <w:rPr>
          <w:rFonts w:hint="default" w:ascii="Times New Roman" w:hAnsi="Times New Roman" w:eastAsia="方正仿宋_GBK" w:cs="Times New Roman"/>
          <w:b w:val="0"/>
          <w:bCs w:val="0"/>
          <w:szCs w:val="32"/>
        </w:rPr>
      </w:pPr>
      <w:bookmarkStart w:id="225" w:name="_Toc19788"/>
      <w:r>
        <w:rPr>
          <w:rFonts w:hint="default" w:ascii="Times New Roman" w:hAnsi="Times New Roman" w:eastAsia="方正仿宋_GBK" w:cs="Times New Roman"/>
          <w:b w:val="0"/>
          <w:bCs w:val="0"/>
          <w:szCs w:val="32"/>
        </w:rPr>
        <w:t>（3）汽车拆解利用</w:t>
      </w:r>
      <w:bookmarkEnd w:id="225"/>
    </w:p>
    <w:p>
      <w:pPr>
        <w:keepNext w:val="0"/>
        <w:keepLines w:val="0"/>
        <w:pageBreakBefore w:val="0"/>
        <w:widowControl w:val="0"/>
        <w:kinsoku/>
        <w:wordWrap/>
        <w:overflowPunct/>
        <w:topLinePunct w:val="0"/>
        <w:autoSpaceDE/>
        <w:autoSpaceDN/>
        <w:bidi w:val="0"/>
        <w:adjustRightInd/>
        <w:snapToGrid/>
        <w:spacing w:line="550" w:lineRule="exact"/>
        <w:ind w:firstLine="616" w:firstLineChars="200"/>
        <w:textAlignment w:val="auto"/>
        <w:rPr>
          <w:rFonts w:hint="default" w:ascii="Times New Roman" w:hAnsi="Times New Roman" w:eastAsia="方正仿宋_GBK" w:cs="Times New Roman"/>
          <w:b w:val="0"/>
          <w:bCs w:val="0"/>
          <w:color w:val="000000"/>
          <w:spacing w:val="-6"/>
          <w:sz w:val="32"/>
          <w:szCs w:val="32"/>
          <w14:ligatures w14:val="none"/>
        </w:rPr>
      </w:pPr>
      <w:r>
        <w:rPr>
          <w:rFonts w:hint="default" w:ascii="Times New Roman" w:hAnsi="Times New Roman" w:eastAsia="方正仿宋_GBK" w:cs="Times New Roman"/>
          <w:b w:val="0"/>
          <w:bCs w:val="0"/>
          <w:color w:val="000000"/>
          <w:spacing w:val="-6"/>
          <w:sz w:val="32"/>
          <w:szCs w:val="32"/>
          <w14:ligatures w14:val="none"/>
        </w:rPr>
        <w:t>探索发展报废汽车回收拆解、回用件集散、汽车零部件再制造和其他拆解产物回收利用的汽车拆解利用产业，大力招引培育一批高水平汽车拆解利用项目。鼓励企业开展绿色拆解、高附加值利用、再制造等技术研发，实现报废汽车拆解产物高值化利用。引进和培育具备绿色清洗、损伤检测修复、柔性加工等先进再制造工艺和技术装备，能够针对燃油汽车和新能源汽车高附加值核心零部件实施再制造的企业。</w:t>
      </w:r>
    </w:p>
    <w:p>
      <w:pPr>
        <w:pStyle w:val="11"/>
        <w:keepNext w:val="0"/>
        <w:keepLines w:val="0"/>
        <w:pageBreakBefore w:val="0"/>
        <w:widowControl w:val="0"/>
        <w:kinsoku/>
        <w:wordWrap/>
        <w:overflowPunct/>
        <w:topLinePunct w:val="0"/>
        <w:autoSpaceDE/>
        <w:autoSpaceDN/>
        <w:bidi w:val="0"/>
        <w:adjustRightInd/>
        <w:snapToGrid/>
        <w:spacing w:after="0" w:line="550" w:lineRule="exact"/>
        <w:ind w:firstLine="643"/>
        <w:textAlignment w:val="auto"/>
        <w:outlineLvl w:val="3"/>
        <w:rPr>
          <w:rFonts w:hint="default" w:ascii="Times New Roman" w:hAnsi="Times New Roman" w:eastAsia="方正仿宋_GBK" w:cs="Times New Roman"/>
          <w:b w:val="0"/>
          <w:bCs w:val="0"/>
          <w:szCs w:val="32"/>
        </w:rPr>
      </w:pPr>
      <w:bookmarkStart w:id="226" w:name="_Toc13328"/>
      <w:r>
        <w:rPr>
          <w:rFonts w:hint="default" w:ascii="Times New Roman" w:hAnsi="Times New Roman" w:eastAsia="方正仿宋_GBK" w:cs="Times New Roman"/>
          <w:b w:val="0"/>
          <w:bCs w:val="0"/>
          <w:szCs w:val="32"/>
        </w:rPr>
        <w:t>（4）再生金属回收利用</w:t>
      </w:r>
      <w:bookmarkEnd w:id="226"/>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sz w:val="32"/>
          <w:szCs w:val="32"/>
        </w:rPr>
        <w:t>大力发展再生铝、再生铜等再生金属回收利用产业，积极构建废旧金属“回收—加工—利用”产业链，推进废旧金属资源高质高效利用。大力发展中高端铝加工等轻型化、专用化合金材料，铝罐、食品包装、建筑装饰等铝板带箔压延产品，工业挤压型材和汽车零部件铸造产品，实现铝产品的高值保级利用。大力招引培育采用火法冶炼、湿法分离、有价金属提炼等先进工艺的再生铜企业，重点发展高性能铜板带箔产品、铜基新材料等中高端铜精深加工产品。</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黑体_GBK" w:cs="Times New Roman"/>
          <w:b w:val="0"/>
          <w:bCs w:val="0"/>
          <w:color w:val="000000"/>
          <w:sz w:val="24"/>
          <w:szCs w:val="24"/>
          <w14:ligatures w14:val="none"/>
        </w:rPr>
      </w:pPr>
      <w:r>
        <w:rPr>
          <w:rFonts w:hint="default" w:ascii="Times New Roman" w:hAnsi="Times New Roman" w:eastAsia="方正黑体_GBK" w:cs="Times New Roman"/>
          <w:b w:val="0"/>
          <w:bCs w:val="0"/>
          <w:color w:val="000000"/>
          <w:sz w:val="24"/>
          <w:szCs w:val="24"/>
          <w14:ligatures w14:val="none"/>
        </w:rPr>
        <w:t>表4-5  宿迁</w:t>
      </w:r>
      <w:r>
        <w:rPr>
          <w:rFonts w:hint="default" w:ascii="Times New Roman" w:hAnsi="Times New Roman" w:eastAsia="方正黑体_GBK" w:cs="Times New Roman"/>
          <w:b w:val="0"/>
          <w:bCs w:val="0"/>
          <w:sz w:val="24"/>
          <w:szCs w:val="24"/>
        </w:rPr>
        <w:t>临港</w:t>
      </w:r>
      <w:r>
        <w:rPr>
          <w:rFonts w:hint="default" w:ascii="Times New Roman" w:hAnsi="Times New Roman" w:eastAsia="方正黑体_GBK" w:cs="Times New Roman"/>
          <w:b w:val="0"/>
          <w:bCs w:val="0"/>
          <w:color w:val="000000"/>
          <w:sz w:val="24"/>
          <w:szCs w:val="24"/>
          <w14:ligatures w14:val="none"/>
        </w:rPr>
        <w:t>绿色循环产业布局和重点发展方向</w:t>
      </w:r>
    </w:p>
    <w:tbl>
      <w:tblPr>
        <w:tblStyle w:val="27"/>
        <w:tblW w:w="48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1224"/>
        <w:gridCol w:w="2410"/>
        <w:gridCol w:w="2274"/>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2" w:hRule="atLeast"/>
          <w:tblHeader/>
          <w:jc w:val="center"/>
        </w:trPr>
        <w:tc>
          <w:tcPr>
            <w:tcW w:w="705"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重点产业</w:t>
            </w:r>
          </w:p>
        </w:tc>
        <w:tc>
          <w:tcPr>
            <w:tcW w:w="1388"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细分产业</w:t>
            </w:r>
          </w:p>
        </w:tc>
        <w:tc>
          <w:tcPr>
            <w:tcW w:w="1310"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重点区县</w:t>
            </w:r>
          </w:p>
        </w:tc>
        <w:tc>
          <w:tcPr>
            <w:tcW w:w="1595"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依托载体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2" w:hRule="atLeast"/>
          <w:jc w:val="center"/>
        </w:trPr>
        <w:tc>
          <w:tcPr>
            <w:tcW w:w="705" w:type="pct"/>
            <w:vMerge w:val="restar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绿色循环</w:t>
            </w:r>
          </w:p>
        </w:tc>
        <w:tc>
          <w:tcPr>
            <w:tcW w:w="1388" w:type="pct"/>
            <w:vMerge w:val="restart"/>
            <w:vAlign w:val="center"/>
          </w:tcPr>
          <w:p>
            <w:pPr>
              <w:pStyle w:val="39"/>
              <w:numPr>
                <w:ilvl w:val="0"/>
                <w:numId w:val="2"/>
              </w:numPr>
              <w:spacing w:line="240" w:lineRule="exact"/>
              <w:ind w:left="179" w:hanging="179"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光伏装备循环利用</w:t>
            </w:r>
          </w:p>
          <w:p>
            <w:pPr>
              <w:pStyle w:val="39"/>
              <w:numPr>
                <w:ilvl w:val="0"/>
                <w:numId w:val="2"/>
              </w:numPr>
              <w:spacing w:line="240" w:lineRule="exact"/>
              <w:ind w:left="179" w:hanging="179"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动力电池梯次利用</w:t>
            </w:r>
          </w:p>
          <w:p>
            <w:pPr>
              <w:pStyle w:val="39"/>
              <w:numPr>
                <w:ilvl w:val="0"/>
                <w:numId w:val="2"/>
              </w:numPr>
              <w:spacing w:line="240" w:lineRule="exact"/>
              <w:ind w:left="179" w:hanging="179"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汽车拆解利用</w:t>
            </w:r>
          </w:p>
          <w:p>
            <w:pPr>
              <w:pStyle w:val="39"/>
              <w:numPr>
                <w:ilvl w:val="0"/>
                <w:numId w:val="2"/>
              </w:numPr>
              <w:spacing w:line="240" w:lineRule="exact"/>
              <w:ind w:left="179" w:hanging="179"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再生金属回收利用</w:t>
            </w:r>
          </w:p>
        </w:tc>
        <w:tc>
          <w:tcPr>
            <w:tcW w:w="1310" w:type="pc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沭阳县</w:t>
            </w:r>
          </w:p>
        </w:tc>
        <w:tc>
          <w:tcPr>
            <w:tcW w:w="1595" w:type="pct"/>
            <w:vAlign w:val="center"/>
          </w:tcPr>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pacing w:val="-24"/>
                <w:kern w:val="0"/>
                <w:szCs w:val="21"/>
                <w14:ligatures w14:val="none"/>
              </w:rPr>
            </w:pPr>
            <w:r>
              <w:rPr>
                <w:rFonts w:hint="default" w:ascii="Times New Roman" w:hAnsi="Times New Roman" w:eastAsia="方正仿宋_GBK" w:cs="Times New Roman"/>
                <w:b w:val="0"/>
                <w:bCs w:val="0"/>
                <w:color w:val="000000"/>
                <w:szCs w:val="21"/>
                <w14:ligatures w14:val="none"/>
              </w:rPr>
              <w:t>沭阳经济技术开发区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02" w:hRule="atLeast"/>
          <w:jc w:val="center"/>
        </w:trPr>
        <w:tc>
          <w:tcPr>
            <w:tcW w:w="705"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1388" w:type="pct"/>
            <w:vMerge w:val="continue"/>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p>
        </w:tc>
        <w:tc>
          <w:tcPr>
            <w:tcW w:w="1310" w:type="pc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泗阳县</w:t>
            </w:r>
          </w:p>
        </w:tc>
        <w:tc>
          <w:tcPr>
            <w:tcW w:w="1595" w:type="pct"/>
            <w:vAlign w:val="center"/>
          </w:tcPr>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泗阳经济开发区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65" w:hRule="atLeast"/>
          <w:jc w:val="center"/>
        </w:trPr>
        <w:tc>
          <w:tcPr>
            <w:tcW w:w="705"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1388" w:type="pct"/>
            <w:vMerge w:val="continue"/>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p>
        </w:tc>
        <w:tc>
          <w:tcPr>
            <w:tcW w:w="1310" w:type="pc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宿豫区</w:t>
            </w:r>
          </w:p>
        </w:tc>
        <w:tc>
          <w:tcPr>
            <w:tcW w:w="1595" w:type="pct"/>
            <w:vAlign w:val="center"/>
          </w:tcPr>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来龙工业园</w:t>
            </w:r>
          </w:p>
        </w:tc>
      </w:tr>
    </w:tbl>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27" w:name="_Toc21735"/>
      <w:r>
        <w:rPr>
          <w:rFonts w:hint="default" w:ascii="Times New Roman" w:hAnsi="Times New Roman" w:eastAsia="方正楷体_GBK" w:cs="Times New Roman"/>
          <w:b w:val="0"/>
          <w:bCs w:val="0"/>
          <w:sz w:val="32"/>
          <w:szCs w:val="32"/>
        </w:rPr>
        <w:t>（二）优化提升传统临港产业</w:t>
      </w:r>
      <w:bookmarkEnd w:id="227"/>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进一</w:t>
      </w:r>
      <w:r>
        <w:rPr>
          <w:rFonts w:hint="default" w:ascii="Times New Roman" w:hAnsi="Times New Roman" w:eastAsia="方正仿宋_GBK" w:cs="Times New Roman"/>
          <w:b w:val="0"/>
          <w:bCs w:val="0"/>
          <w:spacing w:val="-6"/>
          <w:sz w:val="32"/>
          <w:szCs w:val="32"/>
        </w:rPr>
        <w:t>步提升宿迁港航对木材、矿石、化工原料等关键原材料的运输保障能力，不断巩固传统临港产业发展优势，以高端化、智能化、绿色化为导向，加快新技术、新业态、新模式的应用赋能，大力推</w:t>
      </w:r>
      <w:r>
        <w:rPr>
          <w:rFonts w:hint="default" w:ascii="Times New Roman" w:hAnsi="Times New Roman" w:eastAsia="方正仿宋_GBK" w:cs="Times New Roman"/>
          <w:b w:val="0"/>
          <w:bCs w:val="0"/>
          <w:sz w:val="32"/>
          <w:szCs w:val="32"/>
        </w:rPr>
        <w:t>动高端纺织、绿色家居、绿色食品、绿色建材等传统临港产业转型升级。力争到2025年，传统临港产业规模突破</w:t>
      </w:r>
      <w:r>
        <w:rPr>
          <w:rFonts w:hint="default" w:ascii="Times New Roman" w:hAnsi="Times New Roman" w:eastAsia="方正仿宋_GBK" w:cs="Times New Roman"/>
          <w:b w:val="0"/>
          <w:bCs w:val="0"/>
          <w:sz w:val="32"/>
          <w:szCs w:val="32"/>
          <w:lang w:val="en-US" w:eastAsia="zh-CN"/>
        </w:rPr>
        <w:t>1800</w:t>
      </w:r>
      <w:r>
        <w:rPr>
          <w:rFonts w:hint="default" w:ascii="Times New Roman" w:hAnsi="Times New Roman" w:eastAsia="方正仿宋_GBK" w:cs="Times New Roman"/>
          <w:b w:val="0"/>
          <w:bCs w:val="0"/>
          <w:sz w:val="32"/>
          <w:szCs w:val="32"/>
        </w:rPr>
        <w:t>亿元。</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2"/>
        <w:rPr>
          <w:rFonts w:hint="default" w:ascii="Times New Roman" w:hAnsi="Times New Roman" w:eastAsia="方正仿宋_GBK" w:cs="Times New Roman"/>
          <w:b w:val="0"/>
          <w:bCs w:val="0"/>
          <w:sz w:val="32"/>
          <w:szCs w:val="32"/>
        </w:rPr>
      </w:pPr>
      <w:bookmarkStart w:id="228" w:name="_Toc1390"/>
      <w:r>
        <w:rPr>
          <w:rFonts w:hint="default" w:ascii="Times New Roman" w:hAnsi="Times New Roman" w:eastAsia="方正仿宋_GBK" w:cs="Times New Roman"/>
          <w:b w:val="0"/>
          <w:bCs w:val="0"/>
          <w:sz w:val="32"/>
          <w:szCs w:val="32"/>
        </w:rPr>
        <w:t xml:space="preserve">1. </w:t>
      </w:r>
      <w:r>
        <w:rPr>
          <w:rFonts w:hint="default" w:ascii="Times New Roman" w:hAnsi="Times New Roman" w:eastAsia="方正仿宋_GBK" w:cs="Times New Roman"/>
          <w:b w:val="0"/>
          <w:bCs w:val="0"/>
          <w:kern w:val="2"/>
          <w:sz w:val="32"/>
          <w:szCs w:val="32"/>
          <w:lang w:val="en-US" w:eastAsia="zh-CN" w:bidi="ar-SA"/>
          <w14:ligatures w14:val="standardContextual"/>
        </w:rPr>
        <w:t>高端纺织产业</w:t>
      </w:r>
      <w:bookmarkEnd w:id="228"/>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以沭阳县、泗阳县、宿城区为重点，依托沭阳临港产业园、运河宿迁港产业园（含恒力时尚产业园）等园区发展基础，充分发挥宿连航道连通连云港石化基地及海河联运等优势和沭阳“绿岛”污染处理功能，进一步扩大高性能化纤、服装服饰、家用纺织品及产业用纺织品等细分领域发展优势，在此基础上，鼓励企业加速开拓国际市场，打造特色产品品牌。到2025年，高端纺织产业规模达900亿元。</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29" w:name="_Toc17258"/>
      <w:r>
        <w:rPr>
          <w:rFonts w:hint="default" w:ascii="Times New Roman" w:hAnsi="Times New Roman" w:eastAsia="方正仿宋_GBK" w:cs="Times New Roman"/>
          <w:b w:val="0"/>
          <w:bCs w:val="0"/>
          <w:szCs w:val="32"/>
        </w:rPr>
        <w:t>（1）高性能化学纤维</w:t>
      </w:r>
      <w:bookmarkEnd w:id="229"/>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6"/>
        </w:rPr>
      </w:pPr>
      <w:r>
        <w:rPr>
          <w:rFonts w:hint="default" w:ascii="Times New Roman" w:hAnsi="Times New Roman" w:eastAsia="方正仿宋_GBK" w:cs="Times New Roman"/>
          <w:b w:val="0"/>
          <w:bCs w:val="0"/>
          <w:sz w:val="32"/>
          <w:szCs w:val="36"/>
        </w:rPr>
        <w:t>进一步强化弹性体及纤维产品技术优势，结合项目招引培育，大力发展功能化、差别化的树脂基、橡胶基纺织纤维复合材料，以及化纤与碳纤维、玻璃纤维等高性能纤维复合的新型纤维材料，延伸发展化学纤维生产装备。进一步推动企业提高技术开发和产品创新能力，积极应用前沿新材料的技术成果，探索发展面向医疗卫生、环境保护、建筑工程、交通运输、应急安全、航空航天等领域的特种化学纤维。</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30" w:name="_Toc16563"/>
      <w:r>
        <w:rPr>
          <w:rFonts w:hint="default" w:ascii="Times New Roman" w:hAnsi="Times New Roman" w:eastAsia="方正仿宋_GBK" w:cs="Times New Roman"/>
          <w:b w:val="0"/>
          <w:bCs w:val="0"/>
          <w:szCs w:val="32"/>
        </w:rPr>
        <w:t>（2）服装服饰</w:t>
      </w:r>
      <w:bookmarkEnd w:id="230"/>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6"/>
        </w:rPr>
      </w:pPr>
      <w:r>
        <w:rPr>
          <w:rFonts w:hint="default" w:ascii="Times New Roman" w:hAnsi="Times New Roman" w:eastAsia="方正仿宋_GBK" w:cs="Times New Roman"/>
          <w:b w:val="0"/>
          <w:bCs w:val="0"/>
          <w:sz w:val="32"/>
          <w:szCs w:val="36"/>
        </w:rPr>
        <w:t>大力发展童装、工服、牛仔服、衬衣、针织服饰等特色服装产品，重点研制开发高端、时尚、功能性系列服装，不断提高产品的安全性、舒适性、功能性。打造牛仔服装全产业链，优先发展品牌牛仔童装牛仔，提高线上品牌运营能力。以高附加值品牌服装为重点，培育优势品牌，打造棉、麻、涤纶、牛仔、羽绒、皮革等多种面料和材质的衬衣、童装、西装、休闲运动装、工装制服产品。联合</w:t>
      </w:r>
      <w:r>
        <w:rPr>
          <w:rFonts w:hint="default" w:ascii="Times New Roman" w:hAnsi="Times New Roman" w:eastAsia="方正仿宋_GBK" w:cs="Times New Roman"/>
          <w:b w:val="0"/>
          <w:bCs w:val="0"/>
          <w:sz w:val="32"/>
          <w:szCs w:val="36"/>
          <w:lang w:eastAsia="zh-CN"/>
        </w:rPr>
        <w:t>优势电商企业</w:t>
      </w:r>
      <w:r>
        <w:rPr>
          <w:rFonts w:hint="default" w:ascii="Times New Roman" w:hAnsi="Times New Roman" w:eastAsia="方正仿宋_GBK" w:cs="Times New Roman"/>
          <w:b w:val="0"/>
          <w:bCs w:val="0"/>
          <w:sz w:val="32"/>
          <w:szCs w:val="36"/>
        </w:rPr>
        <w:t>，利用跨境电商等新业态新模式，提高服装服饰品牌国际影响力，推动本土服装企业走出去。</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31" w:name="_Toc29006"/>
      <w:r>
        <w:rPr>
          <w:rFonts w:hint="default" w:ascii="Times New Roman" w:hAnsi="Times New Roman" w:eastAsia="方正仿宋_GBK" w:cs="Times New Roman"/>
          <w:b w:val="0"/>
          <w:bCs w:val="0"/>
          <w:szCs w:val="32"/>
        </w:rPr>
        <w:t>（3）家用纺织品</w:t>
      </w:r>
      <w:bookmarkEnd w:id="231"/>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6"/>
        </w:rPr>
      </w:pPr>
      <w:r>
        <w:rPr>
          <w:rFonts w:hint="default" w:ascii="Times New Roman" w:hAnsi="Times New Roman" w:eastAsia="方正仿宋_GBK" w:cs="Times New Roman"/>
          <w:b w:val="0"/>
          <w:bCs w:val="0"/>
          <w:sz w:val="32"/>
          <w:szCs w:val="36"/>
        </w:rPr>
        <w:t>重点发展差别化功能性化学纤维、高性能纤维、化纤仿真高档家纺产品。大力发展多种纤维混纺和交织的床上用品、窗帘布、墙布、桌布等特色产品。大力发展提花遮光窗帘、环保无缝墙布、床上用品、桌布等特色产品。强化新型面料的研发和应用，提高企业创意设计和品牌运营能力。积极开发新产品，打造高附加值家纺产品，带动产业提档升级。</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32" w:name="_Toc15240"/>
      <w:r>
        <w:rPr>
          <w:rFonts w:hint="default" w:ascii="Times New Roman" w:hAnsi="Times New Roman" w:eastAsia="方正仿宋_GBK" w:cs="Times New Roman"/>
          <w:b w:val="0"/>
          <w:bCs w:val="0"/>
          <w:szCs w:val="32"/>
        </w:rPr>
        <w:t>（4）产业用纺织品</w:t>
      </w:r>
      <w:bookmarkEnd w:id="232"/>
    </w:p>
    <w:p>
      <w:pPr>
        <w:keepNext w:val="0"/>
        <w:keepLines w:val="0"/>
        <w:pageBreakBefore w:val="0"/>
        <w:widowControl w:val="0"/>
        <w:kinsoku/>
        <w:wordWrap/>
        <w:overflowPunct w:val="0"/>
        <w:topLinePunct w:val="0"/>
        <w:autoSpaceDE/>
        <w:autoSpaceDN/>
        <w:bidi w:val="0"/>
        <w:adjustRightInd/>
        <w:snapToGrid/>
        <w:spacing w:line="450" w:lineRule="exact"/>
        <w:ind w:firstLine="640" w:firstLineChars="200"/>
        <w:textAlignment w:val="auto"/>
        <w:rPr>
          <w:rFonts w:hint="default" w:ascii="Times New Roman" w:hAnsi="Times New Roman" w:eastAsia="方正仿宋_GBK" w:cs="Times New Roman"/>
          <w:b w:val="0"/>
          <w:bCs w:val="0"/>
          <w:sz w:val="32"/>
          <w:szCs w:val="36"/>
        </w:rPr>
      </w:pPr>
      <w:r>
        <w:rPr>
          <w:rFonts w:hint="default" w:ascii="Times New Roman" w:hAnsi="Times New Roman" w:eastAsia="方正仿宋_GBK" w:cs="Times New Roman"/>
          <w:b w:val="0"/>
          <w:bCs w:val="0"/>
          <w:sz w:val="32"/>
          <w:szCs w:val="36"/>
        </w:rPr>
        <w:t>大力发展多种纤维混纺和交织的土工布、帘子布等产业用纺织品。进一步提高产品化学防护、生物防护、冲击保护等性能，探索发展具备热（冷）防护、电防护、辐射防护、阻燃防护、高可视度防护等性能的新型产业用纺织品。开发各种防尘、防菌、阻燃、抗静电、防酸防碱、芳纶面料及防护服装。</w:t>
      </w:r>
    </w:p>
    <w:p>
      <w:pPr>
        <w:jc w:val="center"/>
        <w:rPr>
          <w:rFonts w:hint="default" w:ascii="Times New Roman" w:hAnsi="Times New Roman" w:eastAsia="方正黑体_GBK" w:cs="Times New Roman"/>
          <w:b w:val="0"/>
          <w:bCs w:val="0"/>
          <w:sz w:val="24"/>
          <w:szCs w:val="24"/>
        </w:rPr>
      </w:pPr>
      <w:r>
        <w:rPr>
          <w:rFonts w:hint="default" w:ascii="Times New Roman" w:hAnsi="Times New Roman" w:eastAsia="方正黑体_GBK" w:cs="Times New Roman"/>
          <w:b w:val="0"/>
          <w:bCs w:val="0"/>
          <w:sz w:val="24"/>
          <w:szCs w:val="24"/>
        </w:rPr>
        <w:t>表4-6  宿迁</w:t>
      </w:r>
      <w:bookmarkStart w:id="233" w:name="_Hlk149632845"/>
      <w:r>
        <w:rPr>
          <w:rFonts w:hint="default" w:ascii="Times New Roman" w:hAnsi="Times New Roman" w:eastAsia="方正黑体_GBK" w:cs="Times New Roman"/>
          <w:b w:val="0"/>
          <w:bCs w:val="0"/>
          <w:sz w:val="24"/>
          <w:szCs w:val="24"/>
        </w:rPr>
        <w:t>临港</w:t>
      </w:r>
      <w:bookmarkEnd w:id="233"/>
      <w:r>
        <w:rPr>
          <w:rFonts w:hint="default" w:ascii="Times New Roman" w:hAnsi="Times New Roman" w:eastAsia="方正黑体_GBK" w:cs="Times New Roman"/>
          <w:b w:val="0"/>
          <w:bCs w:val="0"/>
          <w:sz w:val="24"/>
          <w:szCs w:val="24"/>
        </w:rPr>
        <w:t>高端纺织产业布局和重点发展方向</w:t>
      </w:r>
    </w:p>
    <w:tbl>
      <w:tblPr>
        <w:tblStyle w:val="27"/>
        <w:tblW w:w="52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1253"/>
        <w:gridCol w:w="2087"/>
        <w:gridCol w:w="1523"/>
        <w:gridCol w:w="4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427" w:hRule="atLeast"/>
          <w:tblHeader/>
          <w:jc w:val="center"/>
        </w:trPr>
        <w:tc>
          <w:tcPr>
            <w:tcW w:w="674"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重点产业</w:t>
            </w:r>
          </w:p>
        </w:tc>
        <w:tc>
          <w:tcPr>
            <w:tcW w:w="1122"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细分产业</w:t>
            </w:r>
          </w:p>
        </w:tc>
        <w:tc>
          <w:tcPr>
            <w:tcW w:w="819"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重点区县</w:t>
            </w:r>
          </w:p>
        </w:tc>
        <w:tc>
          <w:tcPr>
            <w:tcW w:w="2383"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依托载体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40" w:hRule="atLeast"/>
          <w:jc w:val="center"/>
        </w:trPr>
        <w:tc>
          <w:tcPr>
            <w:tcW w:w="674"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高端纺织</w:t>
            </w:r>
          </w:p>
        </w:tc>
        <w:tc>
          <w:tcPr>
            <w:tcW w:w="1122" w:type="pct"/>
            <w:vMerge w:val="restart"/>
            <w:vAlign w:val="center"/>
          </w:tcPr>
          <w:p>
            <w:pPr>
              <w:pStyle w:val="39"/>
              <w:keepNext w:val="0"/>
              <w:keepLines w:val="0"/>
              <w:pageBreakBefore w:val="0"/>
              <w:widowControl/>
              <w:numPr>
                <w:ilvl w:val="0"/>
                <w:numId w:val="3"/>
              </w:numPr>
              <w:kinsoku/>
              <w:wordWrap/>
              <w:overflowPunct/>
              <w:topLinePunct w:val="0"/>
              <w:autoSpaceDE/>
              <w:autoSpaceDN/>
              <w:bidi w:val="0"/>
              <w:adjustRightInd/>
              <w:snapToGrid/>
              <w:spacing w:line="280" w:lineRule="exact"/>
              <w:ind w:left="181" w:hanging="181" w:firstLineChars="0"/>
              <w:textAlignment w:val="auto"/>
              <w:rPr>
                <w:rFonts w:hint="default" w:ascii="Times New Roman" w:hAnsi="Times New Roman" w:eastAsia="方正仿宋_GBK" w:cs="Times New Roman"/>
                <w:b w:val="0"/>
                <w:bCs w:val="0"/>
                <w:color w:val="000000"/>
                <w:kern w:val="0"/>
                <w:szCs w:val="21"/>
                <w14:ligatures w14:val="none"/>
              </w:rPr>
            </w:pPr>
            <w:bookmarkStart w:id="234" w:name="_Hlk149410424"/>
            <w:r>
              <w:rPr>
                <w:rFonts w:hint="default" w:ascii="Times New Roman" w:hAnsi="Times New Roman" w:eastAsia="方正仿宋_GBK" w:cs="Times New Roman"/>
                <w:b w:val="0"/>
                <w:bCs w:val="0"/>
                <w:color w:val="000000"/>
                <w:kern w:val="0"/>
                <w:szCs w:val="21"/>
                <w14:ligatures w14:val="none"/>
              </w:rPr>
              <w:t>高性能化学纤维</w:t>
            </w:r>
          </w:p>
          <w:p>
            <w:pPr>
              <w:pStyle w:val="39"/>
              <w:keepNext w:val="0"/>
              <w:keepLines w:val="0"/>
              <w:pageBreakBefore w:val="0"/>
              <w:widowControl/>
              <w:numPr>
                <w:ilvl w:val="0"/>
                <w:numId w:val="3"/>
              </w:numPr>
              <w:kinsoku/>
              <w:wordWrap/>
              <w:overflowPunct/>
              <w:topLinePunct w:val="0"/>
              <w:autoSpaceDE/>
              <w:autoSpaceDN/>
              <w:bidi w:val="0"/>
              <w:adjustRightInd/>
              <w:snapToGrid/>
              <w:spacing w:line="280" w:lineRule="exact"/>
              <w:ind w:left="181" w:hanging="181" w:firstLineChars="0"/>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服装服饰</w:t>
            </w:r>
            <w:bookmarkEnd w:id="234"/>
          </w:p>
          <w:p>
            <w:pPr>
              <w:pStyle w:val="39"/>
              <w:keepNext w:val="0"/>
              <w:keepLines w:val="0"/>
              <w:pageBreakBefore w:val="0"/>
              <w:widowControl/>
              <w:numPr>
                <w:ilvl w:val="0"/>
                <w:numId w:val="3"/>
              </w:numPr>
              <w:kinsoku/>
              <w:wordWrap/>
              <w:overflowPunct/>
              <w:topLinePunct w:val="0"/>
              <w:autoSpaceDE/>
              <w:autoSpaceDN/>
              <w:bidi w:val="0"/>
              <w:adjustRightInd/>
              <w:snapToGrid/>
              <w:spacing w:line="280" w:lineRule="exact"/>
              <w:ind w:left="181" w:hanging="181" w:firstLineChars="0"/>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家用纺织品</w:t>
            </w:r>
          </w:p>
          <w:p>
            <w:pPr>
              <w:pStyle w:val="39"/>
              <w:keepNext w:val="0"/>
              <w:keepLines w:val="0"/>
              <w:pageBreakBefore w:val="0"/>
              <w:widowControl/>
              <w:numPr>
                <w:ilvl w:val="0"/>
                <w:numId w:val="3"/>
              </w:numPr>
              <w:kinsoku/>
              <w:wordWrap/>
              <w:overflowPunct/>
              <w:topLinePunct w:val="0"/>
              <w:autoSpaceDE/>
              <w:autoSpaceDN/>
              <w:bidi w:val="0"/>
              <w:adjustRightInd/>
              <w:snapToGrid/>
              <w:spacing w:line="280" w:lineRule="exact"/>
              <w:ind w:left="181" w:hanging="181" w:firstLineChars="0"/>
              <w:textAlignment w:val="auto"/>
              <w:rPr>
                <w:rFonts w:hint="default" w:ascii="Times New Roman" w:hAnsi="Times New Roman" w:eastAsia="方正仿宋_GBK" w:cs="Times New Roman"/>
                <w:b w:val="0"/>
                <w:bCs w:val="0"/>
                <w:color w:val="000000"/>
                <w:kern w:val="0"/>
                <w:szCs w:val="21"/>
                <w14:ligatures w14:val="none"/>
              </w:rPr>
            </w:pPr>
            <w:bookmarkStart w:id="235" w:name="_Hlk149410585"/>
            <w:r>
              <w:rPr>
                <w:rFonts w:hint="default" w:ascii="Times New Roman" w:hAnsi="Times New Roman" w:eastAsia="方正仿宋_GBK" w:cs="Times New Roman"/>
                <w:b w:val="0"/>
                <w:bCs w:val="0"/>
                <w:color w:val="000000"/>
                <w:kern w:val="0"/>
                <w:szCs w:val="21"/>
                <w14:ligatures w14:val="none"/>
              </w:rPr>
              <w:t>产业</w:t>
            </w:r>
            <w:r>
              <w:rPr>
                <w:rFonts w:hint="default" w:ascii="Times New Roman" w:hAnsi="Times New Roman" w:eastAsia="方正仿宋_GBK" w:cs="Times New Roman"/>
                <w:b w:val="0"/>
                <w:bCs w:val="0"/>
                <w:color w:val="000000"/>
                <w:kern w:val="0"/>
                <w:szCs w:val="21"/>
                <w:lang w:eastAsia="zh-CN"/>
                <w14:ligatures w14:val="none"/>
              </w:rPr>
              <w:t>用</w:t>
            </w:r>
            <w:r>
              <w:rPr>
                <w:rFonts w:hint="default" w:ascii="Times New Roman" w:hAnsi="Times New Roman" w:eastAsia="方正仿宋_GBK" w:cs="Times New Roman"/>
                <w:b w:val="0"/>
                <w:bCs w:val="0"/>
                <w:color w:val="000000"/>
                <w:kern w:val="0"/>
                <w:szCs w:val="21"/>
                <w14:ligatures w14:val="none"/>
              </w:rPr>
              <w:t>纺织品</w:t>
            </w:r>
            <w:bookmarkEnd w:id="235"/>
          </w:p>
        </w:tc>
        <w:tc>
          <w:tcPr>
            <w:tcW w:w="819" w:type="pc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沭阳县</w:t>
            </w:r>
          </w:p>
        </w:tc>
        <w:tc>
          <w:tcPr>
            <w:tcW w:w="2383" w:type="pct"/>
            <w:vAlign w:val="center"/>
          </w:tcPr>
          <w:p>
            <w:pPr>
              <w:pStyle w:val="39"/>
              <w:keepNext w:val="0"/>
              <w:keepLines w:val="0"/>
              <w:pageBreakBefore w:val="0"/>
              <w:widowControl/>
              <w:numPr>
                <w:ilvl w:val="0"/>
                <w:numId w:val="4"/>
              </w:numPr>
              <w:kinsoku/>
              <w:wordWrap/>
              <w:overflowPunct/>
              <w:topLinePunct w:val="0"/>
              <w:autoSpaceDE/>
              <w:autoSpaceDN/>
              <w:bidi w:val="0"/>
              <w:adjustRightInd/>
              <w:snapToGrid/>
              <w:spacing w:line="280" w:lineRule="exact"/>
              <w:ind w:left="181" w:leftChars="0" w:hanging="181" w:firstLineChars="0"/>
              <w:textAlignment w:val="auto"/>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color w:val="000000"/>
                <w:kern w:val="0"/>
                <w:szCs w:val="21"/>
                <w14:ligatures w14:val="none"/>
              </w:rPr>
              <w:t>沭阳临港产业园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427" w:hRule="atLeast"/>
          <w:jc w:val="center"/>
        </w:trPr>
        <w:tc>
          <w:tcPr>
            <w:tcW w:w="674"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1122" w:type="pct"/>
            <w:vMerge w:val="continue"/>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b w:val="0"/>
                <w:bCs w:val="0"/>
                <w:szCs w:val="21"/>
              </w:rPr>
            </w:pPr>
          </w:p>
        </w:tc>
        <w:tc>
          <w:tcPr>
            <w:tcW w:w="819" w:type="pc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泗阳县</w:t>
            </w:r>
          </w:p>
        </w:tc>
        <w:tc>
          <w:tcPr>
            <w:tcW w:w="2383" w:type="pct"/>
            <w:vAlign w:val="center"/>
          </w:tcPr>
          <w:p>
            <w:pPr>
              <w:pStyle w:val="39"/>
              <w:keepNext w:val="0"/>
              <w:keepLines w:val="0"/>
              <w:pageBreakBefore w:val="0"/>
              <w:widowControl/>
              <w:numPr>
                <w:ilvl w:val="0"/>
                <w:numId w:val="3"/>
              </w:numPr>
              <w:kinsoku/>
              <w:wordWrap/>
              <w:overflowPunct/>
              <w:topLinePunct w:val="0"/>
              <w:autoSpaceDE/>
              <w:autoSpaceDN/>
              <w:bidi w:val="0"/>
              <w:adjustRightInd/>
              <w:snapToGrid/>
              <w:spacing w:line="280" w:lineRule="exact"/>
              <w:ind w:left="174" w:hanging="174" w:firstLineChars="0"/>
              <w:jc w:val="left"/>
              <w:textAlignment w:val="auto"/>
              <w:rPr>
                <w:rFonts w:hint="default" w:ascii="Times New Roman" w:hAnsi="Times New Roman" w:eastAsia="方正仿宋_GBK" w:cs="Times New Roman"/>
                <w:b w:val="0"/>
                <w:bCs w:val="0"/>
                <w:color w:val="000000"/>
                <w:spacing w:val="-20"/>
                <w:kern w:val="0"/>
                <w:szCs w:val="21"/>
                <w14:ligatures w14:val="none"/>
              </w:rPr>
            </w:pPr>
            <w:r>
              <w:rPr>
                <w:rFonts w:hint="default" w:ascii="Times New Roman" w:hAnsi="Times New Roman" w:eastAsia="方正仿宋_GBK" w:cs="Times New Roman"/>
                <w:b w:val="0"/>
                <w:bCs w:val="0"/>
                <w:spacing w:val="-8"/>
                <w:szCs w:val="21"/>
              </w:rPr>
              <w:t>泗阳经济开发区</w:t>
            </w:r>
          </w:p>
          <w:p>
            <w:pPr>
              <w:pStyle w:val="39"/>
              <w:keepNext w:val="0"/>
              <w:keepLines w:val="0"/>
              <w:pageBreakBefore w:val="0"/>
              <w:numPr>
                <w:ilvl w:val="0"/>
                <w:numId w:val="1"/>
              </w:numPr>
              <w:kinsoku/>
              <w:wordWrap/>
              <w:overflowPunct/>
              <w:topLinePunct w:val="0"/>
              <w:autoSpaceDE/>
              <w:autoSpaceDN/>
              <w:bidi w:val="0"/>
              <w:adjustRightInd/>
              <w:snapToGrid/>
              <w:spacing w:line="280" w:lineRule="exact"/>
              <w:ind w:left="181" w:leftChars="0" w:hanging="181" w:firstLineChars="0"/>
              <w:textAlignment w:val="auto"/>
              <w:rPr>
                <w:rFonts w:hint="default" w:ascii="Times New Roman" w:hAnsi="Times New Roman" w:eastAsia="方正仿宋_GBK" w:cs="Times New Roman"/>
                <w:b w:val="0"/>
                <w:bCs w:val="0"/>
                <w:spacing w:val="-8"/>
                <w:szCs w:val="21"/>
              </w:rPr>
            </w:pPr>
            <w:r>
              <w:rPr>
                <w:rFonts w:hint="default" w:ascii="Times New Roman" w:hAnsi="Times New Roman" w:eastAsia="方正仿宋_GBK" w:cs="Times New Roman"/>
                <w:b w:val="0"/>
                <w:bCs w:val="0"/>
                <w:color w:val="000000"/>
                <w:spacing w:val="-16"/>
                <w:szCs w:val="21"/>
                <w14:ligatures w14:val="none"/>
              </w:rPr>
              <w:t>泗阳高新技术产业开发区（含吴江泗阳工业园）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73" w:hRule="atLeast"/>
          <w:jc w:val="center"/>
        </w:trPr>
        <w:tc>
          <w:tcPr>
            <w:tcW w:w="674"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1122" w:type="pct"/>
            <w:vMerge w:val="continue"/>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b w:val="0"/>
                <w:bCs w:val="0"/>
                <w:szCs w:val="21"/>
              </w:rPr>
            </w:pPr>
          </w:p>
        </w:tc>
        <w:tc>
          <w:tcPr>
            <w:tcW w:w="819" w:type="pc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szCs w:val="21"/>
              </w:rPr>
              <w:t>宿城区</w:t>
            </w:r>
          </w:p>
        </w:tc>
        <w:tc>
          <w:tcPr>
            <w:tcW w:w="2383" w:type="pct"/>
            <w:vAlign w:val="center"/>
          </w:tcPr>
          <w:p>
            <w:pPr>
              <w:pStyle w:val="39"/>
              <w:keepNext w:val="0"/>
              <w:keepLines w:val="0"/>
              <w:pageBreakBefore w:val="0"/>
              <w:numPr>
                <w:ilvl w:val="0"/>
                <w:numId w:val="3"/>
              </w:numPr>
              <w:kinsoku/>
              <w:wordWrap/>
              <w:overflowPunct/>
              <w:topLinePunct w:val="0"/>
              <w:autoSpaceDE/>
              <w:autoSpaceDN/>
              <w:bidi w:val="0"/>
              <w:adjustRightInd/>
              <w:snapToGrid/>
              <w:spacing w:line="280" w:lineRule="exact"/>
              <w:ind w:left="174" w:hanging="174" w:firstLineChars="0"/>
              <w:textAlignment w:val="auto"/>
              <w:rPr>
                <w:rFonts w:hint="default" w:ascii="Times New Roman" w:hAnsi="Times New Roman" w:eastAsia="方正仿宋_GBK" w:cs="Times New Roman"/>
                <w:b w:val="0"/>
                <w:bCs w:val="0"/>
                <w:color w:val="000000"/>
                <w:spacing w:val="-12"/>
                <w:kern w:val="0"/>
                <w:szCs w:val="21"/>
                <w14:ligatures w14:val="none"/>
              </w:rPr>
            </w:pPr>
            <w:r>
              <w:rPr>
                <w:rFonts w:hint="default" w:ascii="Times New Roman" w:hAnsi="Times New Roman" w:eastAsia="方正仿宋_GBK" w:cs="Times New Roman"/>
                <w:b w:val="0"/>
                <w:bCs w:val="0"/>
                <w:color w:val="000000"/>
                <w:spacing w:val="-12"/>
                <w:kern w:val="0"/>
                <w:szCs w:val="21"/>
                <w14:ligatures w14:val="none"/>
              </w:rPr>
              <w:t>运河宿迁港产业园（含恒力时尚产业园）</w:t>
            </w:r>
          </w:p>
          <w:p>
            <w:pPr>
              <w:pStyle w:val="39"/>
              <w:keepNext w:val="0"/>
              <w:keepLines w:val="0"/>
              <w:pageBreakBefore w:val="0"/>
              <w:numPr>
                <w:ilvl w:val="0"/>
                <w:numId w:val="3"/>
              </w:numPr>
              <w:kinsoku/>
              <w:wordWrap/>
              <w:overflowPunct/>
              <w:topLinePunct w:val="0"/>
              <w:autoSpaceDE/>
              <w:autoSpaceDN/>
              <w:bidi w:val="0"/>
              <w:adjustRightInd/>
              <w:snapToGrid/>
              <w:spacing w:line="280" w:lineRule="exact"/>
              <w:ind w:left="181" w:leftChars="0" w:hanging="181" w:firstLineChars="0"/>
              <w:textAlignment w:val="auto"/>
              <w:rPr>
                <w:rFonts w:hint="default" w:ascii="Times New Roman" w:hAnsi="Times New Roman" w:eastAsia="方正仿宋_GBK" w:cs="Times New Roman"/>
                <w:b w:val="0"/>
                <w:bCs w:val="0"/>
                <w:color w:val="000000"/>
                <w:spacing w:val="-16"/>
                <w:kern w:val="0"/>
                <w:szCs w:val="21"/>
                <w14:ligatures w14:val="none"/>
              </w:rPr>
            </w:pPr>
            <w:r>
              <w:rPr>
                <w:rFonts w:hint="default" w:ascii="Times New Roman" w:hAnsi="Times New Roman" w:eastAsia="方正仿宋_GBK" w:cs="Times New Roman"/>
                <w:b w:val="0"/>
                <w:bCs w:val="0"/>
                <w:color w:val="000000"/>
                <w:kern w:val="0"/>
                <w:szCs w:val="21"/>
                <w14:ligatures w14:val="none"/>
              </w:rPr>
              <w:t>宿城经济开发区</w:t>
            </w:r>
            <w:r>
              <w:rPr>
                <w:rFonts w:hint="default" w:ascii="Times New Roman" w:hAnsi="Times New Roman" w:eastAsia="方正仿宋_GBK" w:cs="Times New Roman"/>
                <w:b w:val="0"/>
                <w:bCs w:val="0"/>
                <w:color w:val="000000"/>
                <w:spacing w:val="-23"/>
                <w:kern w:val="0"/>
                <w:szCs w:val="21"/>
                <w14:ligatures w14:val="none"/>
              </w:rPr>
              <w:t>（南片区，含恒力工业园）</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default" w:ascii="Times New Roman" w:hAnsi="Times New Roman" w:eastAsia="方正楷体_GBK" w:cs="Times New Roman"/>
          <w:b w:val="0"/>
          <w:bCs w:val="0"/>
          <w:sz w:val="32"/>
          <w:szCs w:val="32"/>
        </w:rPr>
      </w:pPr>
      <w:bookmarkStart w:id="236" w:name="_Toc2150"/>
      <w:r>
        <w:rPr>
          <w:rFonts w:hint="default" w:ascii="Times New Roman" w:hAnsi="Times New Roman" w:eastAsia="方正仿宋_GBK" w:cs="Times New Roman"/>
          <w:b w:val="0"/>
          <w:bCs w:val="0"/>
          <w:sz w:val="32"/>
          <w:szCs w:val="32"/>
        </w:rPr>
        <w:t xml:space="preserve">2. </w:t>
      </w:r>
      <w:r>
        <w:rPr>
          <w:rFonts w:hint="default" w:ascii="Times New Roman" w:hAnsi="Times New Roman" w:eastAsia="方正仿宋_GBK" w:cs="Times New Roman"/>
          <w:b w:val="0"/>
          <w:bCs w:val="0"/>
          <w:kern w:val="2"/>
          <w:sz w:val="32"/>
          <w:szCs w:val="32"/>
          <w:lang w:val="en-US" w:eastAsia="zh-CN" w:bidi="ar-SA"/>
          <w14:ligatures w14:val="standardContextual"/>
        </w:rPr>
        <w:t>绿色家居产业</w:t>
      </w:r>
      <w:bookmarkEnd w:id="236"/>
    </w:p>
    <w:p>
      <w:pPr>
        <w:spacing w:line="560" w:lineRule="exact"/>
        <w:ind w:firstLine="640" w:firstLineChars="200"/>
        <w:rPr>
          <w:rFonts w:hint="default" w:ascii="Times New Roman" w:hAnsi="Times New Roman" w:eastAsia="方正仿宋_GBK" w:cs="Times New Roman"/>
          <w:b w:val="0"/>
          <w:bCs w:val="0"/>
          <w:color w:val="000000"/>
          <w:sz w:val="32"/>
          <w:szCs w:val="32"/>
          <w14:ligatures w14:val="none"/>
        </w:rPr>
      </w:pPr>
      <w:r>
        <w:rPr>
          <w:rFonts w:hint="default" w:ascii="Times New Roman" w:hAnsi="Times New Roman" w:eastAsia="方正仿宋_GBK" w:cs="Times New Roman"/>
          <w:b w:val="0"/>
          <w:bCs w:val="0"/>
          <w:sz w:val="32"/>
          <w:szCs w:val="32"/>
        </w:rPr>
        <w:t>以沭阳县、泗阳县为重点，</w:t>
      </w:r>
      <w:r>
        <w:rPr>
          <w:rFonts w:hint="default" w:ascii="Times New Roman" w:hAnsi="Times New Roman" w:eastAsia="方正仿宋_GBK" w:cs="Times New Roman"/>
          <w:b w:val="0"/>
          <w:bCs w:val="0"/>
          <w:color w:val="000000"/>
          <w:sz w:val="32"/>
          <w:szCs w:val="32"/>
          <w14:ligatures w14:val="none"/>
        </w:rPr>
        <w:t>依托宿迁生态板材产业园、泗阳经济开发区等园区载体，充分发挥京杭大运河黄金水道以及宿连航道海河联运的优势，积极为绿色家居企业拓展国内外优质木材渠道，进一步扩大绿色板材产业规模，在此基础上以智能化、绿色化、高端化为导向，探索发展智能家居产业，打造国内知名、具有国际竞争力的本土家居品牌。到2025年，绿色家居产业规模达</w:t>
      </w:r>
      <w:r>
        <w:rPr>
          <w:rFonts w:hint="default" w:ascii="Times New Roman" w:hAnsi="Times New Roman" w:eastAsia="方正仿宋_GBK" w:cs="Times New Roman"/>
          <w:b w:val="0"/>
          <w:bCs w:val="0"/>
          <w:color w:val="000000"/>
          <w:sz w:val="32"/>
          <w:szCs w:val="32"/>
          <w:lang w:val="en-US" w:eastAsia="zh-CN"/>
          <w14:ligatures w14:val="none"/>
        </w:rPr>
        <w:t>400</w:t>
      </w:r>
      <w:r>
        <w:rPr>
          <w:rFonts w:hint="default" w:ascii="Times New Roman" w:hAnsi="Times New Roman" w:eastAsia="方正仿宋_GBK" w:cs="Times New Roman"/>
          <w:b w:val="0"/>
          <w:bCs w:val="0"/>
          <w:color w:val="000000"/>
          <w:sz w:val="32"/>
          <w:szCs w:val="32"/>
          <w14:ligatures w14:val="none"/>
        </w:rPr>
        <w:t>亿元。</w:t>
      </w:r>
    </w:p>
    <w:p>
      <w:pPr>
        <w:pStyle w:val="11"/>
        <w:spacing w:after="0"/>
        <w:ind w:firstLine="643"/>
        <w:outlineLvl w:val="3"/>
        <w:rPr>
          <w:rFonts w:hint="default" w:ascii="Times New Roman" w:hAnsi="Times New Roman" w:eastAsia="方正仿宋_GBK" w:cs="Times New Roman"/>
          <w:b w:val="0"/>
          <w:bCs w:val="0"/>
          <w:szCs w:val="32"/>
        </w:rPr>
      </w:pPr>
      <w:bookmarkStart w:id="237" w:name="_Toc8219"/>
      <w:r>
        <w:rPr>
          <w:rFonts w:hint="default" w:ascii="Times New Roman" w:hAnsi="Times New Roman" w:eastAsia="方正仿宋_GBK" w:cs="Times New Roman"/>
          <w:b w:val="0"/>
          <w:bCs w:val="0"/>
          <w:szCs w:val="32"/>
        </w:rPr>
        <w:t>（1）绿色板材</w:t>
      </w:r>
      <w:bookmarkEnd w:id="237"/>
    </w:p>
    <w:p>
      <w:pPr>
        <w:spacing w:line="56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重点发展纤维水泥夹芯复合墙板、玻璃纤维建筑用轻质隔墙板、玻璃纤维增强水泥轻质多孔隔墙板、新型绿色建筑装饰玻璃等。持续改造提升中高密度板、纤维板等现有产品技术水平和质量，重点发展无醛添加多层复合地板、强化木地板、抗菌地板、绿色环保型胶合板、刨花板、纤维板。大力招引培育具备阻燃、吸声隔音、保温隔热功能的功能性产品，以及轻质、超薄、异型新产品研发制造企业。结合项目招引，大力发展高附加值的功能性胶合板、刨花板，培育形成高档原木精深加工能力。</w:t>
      </w:r>
    </w:p>
    <w:p>
      <w:pPr>
        <w:pStyle w:val="11"/>
        <w:spacing w:after="0"/>
        <w:ind w:firstLine="643"/>
        <w:outlineLvl w:val="3"/>
        <w:rPr>
          <w:rFonts w:hint="default" w:ascii="Times New Roman" w:hAnsi="Times New Roman" w:eastAsia="方正仿宋_GBK" w:cs="Times New Roman"/>
          <w:b w:val="0"/>
          <w:bCs w:val="0"/>
          <w:szCs w:val="32"/>
        </w:rPr>
      </w:pPr>
      <w:bookmarkStart w:id="238" w:name="_Toc6977"/>
      <w:r>
        <w:rPr>
          <w:rFonts w:hint="default" w:ascii="Times New Roman" w:hAnsi="Times New Roman" w:eastAsia="方正仿宋_GBK" w:cs="Times New Roman"/>
          <w:b w:val="0"/>
          <w:bCs w:val="0"/>
          <w:szCs w:val="32"/>
        </w:rPr>
        <w:t>（2）智能家居</w:t>
      </w:r>
      <w:bookmarkEnd w:id="238"/>
    </w:p>
    <w:p>
      <w:pPr>
        <w:spacing w:line="560"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充分发挥“意杨之乡”的杨木资源优势，从源头更新优化杨树品种，逐步形成“杨树种植—绿色家居—木地板—家具—全屋定制”的全产业链发展格局。探索发展智能家居产业，鼓励企业发展智能收纳柜、按摩功能沙发等智能化的家具产品，逐步向智能窗帘、智能厨卫、智能家电、家用机器人等全套家居领域延伸发展。鼓励企业向基于物联网、人工智能技术的智能家居服务供应商转型升级，积极发展线上销售模式，提供全屋智能家居个性化定制设计、制造、故障维修等一站式服务，构建具有品牌特色的智能家居生态链。</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b w:val="0"/>
          <w:bCs w:val="0"/>
          <w:color w:val="000000"/>
          <w:sz w:val="24"/>
          <w:szCs w:val="24"/>
          <w14:ligatures w14:val="none"/>
        </w:rPr>
      </w:pPr>
      <w:r>
        <w:rPr>
          <w:rFonts w:hint="default" w:ascii="Times New Roman" w:hAnsi="Times New Roman" w:eastAsia="方正黑体_GBK" w:cs="Times New Roman"/>
          <w:b w:val="0"/>
          <w:bCs w:val="0"/>
          <w:color w:val="000000"/>
          <w:sz w:val="24"/>
          <w:szCs w:val="24"/>
          <w14:ligatures w14:val="none"/>
        </w:rPr>
        <w:t>表4-7  宿迁</w:t>
      </w:r>
      <w:r>
        <w:rPr>
          <w:rFonts w:hint="default" w:ascii="Times New Roman" w:hAnsi="Times New Roman" w:eastAsia="方正黑体_GBK" w:cs="Times New Roman"/>
          <w:b w:val="0"/>
          <w:bCs w:val="0"/>
          <w:sz w:val="24"/>
          <w:szCs w:val="24"/>
        </w:rPr>
        <w:t>临港</w:t>
      </w:r>
      <w:r>
        <w:rPr>
          <w:rFonts w:hint="default" w:ascii="Times New Roman" w:hAnsi="Times New Roman" w:eastAsia="方正黑体_GBK" w:cs="Times New Roman"/>
          <w:b w:val="0"/>
          <w:bCs w:val="0"/>
          <w:color w:val="000000"/>
          <w:sz w:val="24"/>
          <w:szCs w:val="24"/>
          <w14:ligatures w14:val="none"/>
        </w:rPr>
        <w:t>绿色家居产业布局和重点发展方向</w:t>
      </w:r>
    </w:p>
    <w:tbl>
      <w:tblPr>
        <w:tblStyle w:val="27"/>
        <w:tblW w:w="50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1690"/>
        <w:gridCol w:w="1323"/>
        <w:gridCol w:w="4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jc w:val="center"/>
        </w:trPr>
        <w:tc>
          <w:tcPr>
            <w:tcW w:w="730" w:type="pc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重点产业</w:t>
            </w:r>
          </w:p>
        </w:tc>
        <w:tc>
          <w:tcPr>
            <w:tcW w:w="929" w:type="pc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细分产业</w:t>
            </w:r>
          </w:p>
        </w:tc>
        <w:tc>
          <w:tcPr>
            <w:tcW w:w="727" w:type="pc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重点区县</w:t>
            </w:r>
          </w:p>
        </w:tc>
        <w:tc>
          <w:tcPr>
            <w:tcW w:w="2613" w:type="pc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依托载体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30" w:type="pct"/>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绿色家居</w:t>
            </w:r>
          </w:p>
        </w:tc>
        <w:tc>
          <w:tcPr>
            <w:tcW w:w="929" w:type="pct"/>
            <w:vMerge w:val="restart"/>
            <w:vAlign w:val="center"/>
          </w:tcPr>
          <w:p>
            <w:pPr>
              <w:pStyle w:val="39"/>
              <w:keepNext w:val="0"/>
              <w:keepLines w:val="0"/>
              <w:pageBreakBefore w:val="0"/>
              <w:widowControl/>
              <w:numPr>
                <w:ilvl w:val="0"/>
                <w:numId w:val="1"/>
              </w:numPr>
              <w:kinsoku/>
              <w:wordWrap/>
              <w:overflowPunct/>
              <w:topLinePunct w:val="0"/>
              <w:autoSpaceDE/>
              <w:autoSpaceDN/>
              <w:bidi w:val="0"/>
              <w:adjustRightInd/>
              <w:snapToGrid/>
              <w:spacing w:line="280" w:lineRule="exact"/>
              <w:ind w:left="181" w:hanging="181" w:firstLineChars="0"/>
              <w:textAlignment w:val="auto"/>
              <w:rPr>
                <w:rFonts w:hint="default" w:ascii="Times New Roman" w:hAnsi="Times New Roman" w:eastAsia="方正仿宋_GBK" w:cs="Times New Roman"/>
                <w:b w:val="0"/>
                <w:bCs w:val="0"/>
                <w:color w:val="000000"/>
                <w:spacing w:val="-10"/>
                <w:kern w:val="0"/>
                <w:szCs w:val="21"/>
                <w14:ligatures w14:val="none"/>
              </w:rPr>
            </w:pPr>
            <w:r>
              <w:rPr>
                <w:rFonts w:hint="default" w:ascii="Times New Roman" w:hAnsi="Times New Roman" w:eastAsia="方正仿宋_GBK" w:cs="Times New Roman"/>
                <w:b w:val="0"/>
                <w:bCs w:val="0"/>
                <w:color w:val="000000"/>
                <w:spacing w:val="-10"/>
                <w:kern w:val="0"/>
                <w:szCs w:val="21"/>
                <w14:ligatures w14:val="none"/>
              </w:rPr>
              <w:t>绿色板材</w:t>
            </w:r>
          </w:p>
          <w:p>
            <w:pPr>
              <w:pStyle w:val="39"/>
              <w:keepNext w:val="0"/>
              <w:keepLines w:val="0"/>
              <w:pageBreakBefore w:val="0"/>
              <w:widowControl/>
              <w:numPr>
                <w:ilvl w:val="0"/>
                <w:numId w:val="1"/>
              </w:numPr>
              <w:kinsoku/>
              <w:wordWrap/>
              <w:overflowPunct/>
              <w:topLinePunct w:val="0"/>
              <w:autoSpaceDE/>
              <w:autoSpaceDN/>
              <w:bidi w:val="0"/>
              <w:adjustRightInd/>
              <w:snapToGrid/>
              <w:spacing w:line="280" w:lineRule="exact"/>
              <w:ind w:left="181" w:hanging="181" w:firstLineChars="0"/>
              <w:textAlignment w:val="auto"/>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pacing w:val="-10"/>
                <w:kern w:val="0"/>
                <w:szCs w:val="21"/>
                <w14:ligatures w14:val="none"/>
              </w:rPr>
              <w:t>智能家居</w:t>
            </w:r>
          </w:p>
        </w:tc>
        <w:tc>
          <w:tcPr>
            <w:tcW w:w="727" w:type="pc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沭阳县</w:t>
            </w:r>
          </w:p>
        </w:tc>
        <w:tc>
          <w:tcPr>
            <w:tcW w:w="2613" w:type="pct"/>
            <w:vAlign w:val="center"/>
          </w:tcPr>
          <w:p>
            <w:pPr>
              <w:pStyle w:val="39"/>
              <w:keepNext w:val="0"/>
              <w:keepLines w:val="0"/>
              <w:pageBreakBefore w:val="0"/>
              <w:widowControl/>
              <w:numPr>
                <w:ilvl w:val="0"/>
                <w:numId w:val="1"/>
              </w:numPr>
              <w:kinsoku/>
              <w:wordWrap/>
              <w:overflowPunct/>
              <w:topLinePunct w:val="0"/>
              <w:autoSpaceDE/>
              <w:autoSpaceDN/>
              <w:bidi w:val="0"/>
              <w:adjustRightInd/>
              <w:snapToGrid/>
              <w:spacing w:line="280" w:lineRule="exact"/>
              <w:ind w:left="181" w:hanging="181" w:firstLineChars="0"/>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宿迁生态板材产业园</w:t>
            </w:r>
          </w:p>
          <w:p>
            <w:pPr>
              <w:pStyle w:val="39"/>
              <w:keepNext w:val="0"/>
              <w:keepLines w:val="0"/>
              <w:pageBreakBefore w:val="0"/>
              <w:widowControl/>
              <w:numPr>
                <w:ilvl w:val="0"/>
                <w:numId w:val="1"/>
              </w:numPr>
              <w:kinsoku/>
              <w:wordWrap/>
              <w:overflowPunct/>
              <w:topLinePunct w:val="0"/>
              <w:autoSpaceDE/>
              <w:autoSpaceDN/>
              <w:bidi w:val="0"/>
              <w:adjustRightInd/>
              <w:snapToGrid/>
              <w:spacing w:line="280" w:lineRule="exact"/>
              <w:ind w:left="181" w:hanging="181" w:firstLineChars="0"/>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扎下镇工业园区</w:t>
            </w:r>
          </w:p>
          <w:p>
            <w:pPr>
              <w:pStyle w:val="39"/>
              <w:keepNext w:val="0"/>
              <w:keepLines w:val="0"/>
              <w:pageBreakBefore w:val="0"/>
              <w:widowControl/>
              <w:numPr>
                <w:ilvl w:val="0"/>
                <w:numId w:val="1"/>
              </w:numPr>
              <w:kinsoku/>
              <w:wordWrap/>
              <w:overflowPunct/>
              <w:topLinePunct w:val="0"/>
              <w:autoSpaceDE/>
              <w:autoSpaceDN/>
              <w:bidi w:val="0"/>
              <w:adjustRightInd/>
              <w:snapToGrid/>
              <w:spacing w:line="280" w:lineRule="exact"/>
              <w:ind w:left="181" w:hanging="181" w:firstLineChars="0"/>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桑墟镇工业园区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30" w:type="pct"/>
            <w:vMerge w:val="continue"/>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b w:val="0"/>
                <w:bCs w:val="0"/>
                <w:color w:val="000000"/>
                <w:szCs w:val="21"/>
                <w14:ligatures w14:val="none"/>
              </w:rPr>
            </w:pPr>
          </w:p>
        </w:tc>
        <w:tc>
          <w:tcPr>
            <w:tcW w:w="929" w:type="pct"/>
            <w:vMerge w:val="continue"/>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b w:val="0"/>
                <w:bCs w:val="0"/>
                <w:color w:val="000000"/>
                <w:szCs w:val="21"/>
                <w14:ligatures w14:val="none"/>
              </w:rPr>
            </w:pPr>
          </w:p>
        </w:tc>
        <w:tc>
          <w:tcPr>
            <w:tcW w:w="727" w:type="pc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泗阳县</w:t>
            </w:r>
          </w:p>
        </w:tc>
        <w:tc>
          <w:tcPr>
            <w:tcW w:w="2613" w:type="pct"/>
            <w:vAlign w:val="center"/>
          </w:tcPr>
          <w:p>
            <w:pPr>
              <w:pStyle w:val="39"/>
              <w:keepNext w:val="0"/>
              <w:keepLines w:val="0"/>
              <w:pageBreakBefore w:val="0"/>
              <w:numPr>
                <w:ilvl w:val="0"/>
                <w:numId w:val="1"/>
              </w:numPr>
              <w:kinsoku/>
              <w:wordWrap/>
              <w:overflowPunct/>
              <w:topLinePunct w:val="0"/>
              <w:autoSpaceDE/>
              <w:autoSpaceDN/>
              <w:bidi w:val="0"/>
              <w:adjustRightInd/>
              <w:snapToGrid/>
              <w:spacing w:line="280" w:lineRule="exact"/>
              <w:ind w:left="181" w:hanging="181" w:firstLineChars="0"/>
              <w:textAlignment w:val="auto"/>
              <w:rPr>
                <w:rFonts w:hint="default" w:ascii="Times New Roman" w:hAnsi="Times New Roman" w:eastAsia="方正仿宋_GBK" w:cs="Times New Roman"/>
                <w:b w:val="0"/>
                <w:bCs w:val="0"/>
                <w:color w:val="000000"/>
                <w:spacing w:val="-8"/>
                <w:szCs w:val="21"/>
                <w14:ligatures w14:val="none"/>
              </w:rPr>
            </w:pPr>
            <w:r>
              <w:rPr>
                <w:rFonts w:hint="default" w:ascii="Times New Roman" w:hAnsi="Times New Roman" w:eastAsia="方正仿宋_GBK" w:cs="Times New Roman"/>
                <w:b w:val="0"/>
                <w:bCs w:val="0"/>
                <w:color w:val="000000"/>
                <w:spacing w:val="-8"/>
                <w:szCs w:val="21"/>
                <w14:ligatures w14:val="none"/>
              </w:rPr>
              <w:t>泗阳高新技术产业开发区（含吴江泗阳工业园）</w:t>
            </w:r>
          </w:p>
          <w:p>
            <w:pPr>
              <w:pStyle w:val="39"/>
              <w:keepNext w:val="0"/>
              <w:keepLines w:val="0"/>
              <w:pageBreakBefore w:val="0"/>
              <w:numPr>
                <w:ilvl w:val="0"/>
                <w:numId w:val="1"/>
              </w:numPr>
              <w:kinsoku/>
              <w:wordWrap/>
              <w:overflowPunct/>
              <w:topLinePunct w:val="0"/>
              <w:autoSpaceDE/>
              <w:autoSpaceDN/>
              <w:bidi w:val="0"/>
              <w:adjustRightInd/>
              <w:snapToGrid/>
              <w:spacing w:line="280" w:lineRule="exact"/>
              <w:ind w:left="181" w:hanging="181" w:firstLineChars="0"/>
              <w:textAlignment w:val="auto"/>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泗阳经济开发区</w:t>
            </w:r>
          </w:p>
          <w:p>
            <w:pPr>
              <w:pStyle w:val="39"/>
              <w:keepNext w:val="0"/>
              <w:keepLines w:val="0"/>
              <w:pageBreakBefore w:val="0"/>
              <w:numPr>
                <w:ilvl w:val="0"/>
                <w:numId w:val="1"/>
              </w:numPr>
              <w:kinsoku/>
              <w:wordWrap/>
              <w:overflowPunct/>
              <w:topLinePunct w:val="0"/>
              <w:autoSpaceDE/>
              <w:autoSpaceDN/>
              <w:bidi w:val="0"/>
              <w:adjustRightInd/>
              <w:snapToGrid/>
              <w:spacing w:line="280" w:lineRule="exact"/>
              <w:ind w:left="181" w:hanging="181" w:firstLineChars="0"/>
              <w:textAlignment w:val="auto"/>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仿宋_GBK" w:cs="Times New Roman"/>
                <w:b w:val="0"/>
                <w:bCs w:val="0"/>
                <w:color w:val="000000"/>
                <w:kern w:val="0"/>
                <w:szCs w:val="21"/>
                <w14:ligatures w14:val="none"/>
              </w:rPr>
              <w:t>王集镇高端家具产业园</w:t>
            </w:r>
          </w:p>
        </w:tc>
      </w:tr>
    </w:tbl>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2"/>
        <w:rPr>
          <w:rFonts w:hint="default" w:ascii="Times New Roman" w:hAnsi="Times New Roman" w:eastAsia="方正仿宋_GBK" w:cs="Times New Roman"/>
          <w:b w:val="0"/>
          <w:bCs w:val="0"/>
          <w:sz w:val="32"/>
          <w:szCs w:val="32"/>
        </w:rPr>
      </w:pPr>
      <w:bookmarkStart w:id="239" w:name="_Toc27497"/>
      <w:r>
        <w:rPr>
          <w:rFonts w:hint="default" w:ascii="Times New Roman" w:hAnsi="Times New Roman" w:eastAsia="方正仿宋_GBK" w:cs="Times New Roman"/>
          <w:b w:val="0"/>
          <w:bCs w:val="0"/>
          <w:sz w:val="32"/>
          <w:szCs w:val="32"/>
        </w:rPr>
        <w:t xml:space="preserve">3. </w:t>
      </w:r>
      <w:r>
        <w:rPr>
          <w:rFonts w:hint="default" w:ascii="Times New Roman" w:hAnsi="Times New Roman" w:eastAsia="方正仿宋_GBK" w:cs="Times New Roman"/>
          <w:b w:val="0"/>
          <w:bCs w:val="0"/>
          <w:kern w:val="2"/>
          <w:sz w:val="32"/>
          <w:szCs w:val="32"/>
          <w:lang w:val="en-US" w:eastAsia="zh-CN" w:bidi="ar-SA"/>
          <w14:ligatures w14:val="standardContextual"/>
        </w:rPr>
        <w:t>绿色食品产业</w:t>
      </w:r>
      <w:bookmarkEnd w:id="239"/>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以宿迁经开区、</w:t>
      </w:r>
      <w:r>
        <w:rPr>
          <w:rFonts w:hint="eastAsia" w:ascii="Times New Roman" w:hAnsi="Times New Roman" w:eastAsia="方正仿宋_GBK" w:cs="Times New Roman"/>
          <w:b w:val="0"/>
          <w:bCs w:val="0"/>
          <w:sz w:val="32"/>
          <w:szCs w:val="32"/>
          <w:lang w:eastAsia="zh-CN"/>
        </w:rPr>
        <w:t>市洋河新区</w:t>
      </w:r>
      <w:r>
        <w:rPr>
          <w:rFonts w:hint="default" w:ascii="Times New Roman" w:hAnsi="Times New Roman" w:eastAsia="方正仿宋_GBK" w:cs="Times New Roman"/>
          <w:b w:val="0"/>
          <w:bCs w:val="0"/>
          <w:sz w:val="32"/>
          <w:szCs w:val="32"/>
        </w:rPr>
        <w:t>、泗阳县和泗洪县为重点，依托洋河临港产业园、泗阳现代农业产业园、双沟临港产业园等园区发展基础，充分发挥京杭运河、宿连航道、徐洪河等航道粮食运输及水产品原料的天然优势，进一步扩大酿造（酒）、农副产品精深加工、水产品精深加工等细分领域发展优势，打造绿色化、健康化、高端化的食品品牌。到2025年，绿色食品产业规模达</w:t>
      </w:r>
      <w:r>
        <w:rPr>
          <w:rFonts w:hint="default" w:ascii="Times New Roman" w:hAnsi="Times New Roman" w:eastAsia="方正仿宋_GBK" w:cs="Times New Roman"/>
          <w:b w:val="0"/>
          <w:bCs w:val="0"/>
          <w:sz w:val="32"/>
          <w:szCs w:val="32"/>
          <w:lang w:val="en-US" w:eastAsia="zh-CN"/>
        </w:rPr>
        <w:t>300</w:t>
      </w:r>
      <w:r>
        <w:rPr>
          <w:rFonts w:hint="default" w:ascii="Times New Roman" w:hAnsi="Times New Roman" w:eastAsia="方正仿宋_GBK" w:cs="Times New Roman"/>
          <w:b w:val="0"/>
          <w:bCs w:val="0"/>
          <w:sz w:val="32"/>
          <w:szCs w:val="32"/>
        </w:rPr>
        <w:t>亿元。</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40" w:name="_Toc23763"/>
      <w:r>
        <w:rPr>
          <w:rFonts w:hint="default" w:ascii="Times New Roman" w:hAnsi="Times New Roman" w:eastAsia="方正仿宋_GBK" w:cs="Times New Roman"/>
          <w:b w:val="0"/>
          <w:bCs w:val="0"/>
          <w:szCs w:val="32"/>
        </w:rPr>
        <w:t>（1）酿造（酒）</w:t>
      </w:r>
      <w:bookmarkEnd w:id="240"/>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进一步做大酿酒规模，逐步增加高附加值啤酒产品比例，提升精酿啤酒市场占有率。依托重点企业，大力提高线上品牌运营能力，进一步强化高端健康白酒品牌优势，培育壮大果酒、露酒、葡萄酒等特色酒品。依托优势印刷包装领域企业</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结合项目招引，加快培育具有自主知识产权及自主品牌的彩印包装企业。</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41" w:name="_Toc12000"/>
      <w:r>
        <w:rPr>
          <w:rFonts w:hint="default" w:ascii="Times New Roman" w:hAnsi="Times New Roman" w:eastAsia="方正仿宋_GBK" w:cs="Times New Roman"/>
          <w:b w:val="0"/>
          <w:bCs w:val="0"/>
          <w:szCs w:val="32"/>
        </w:rPr>
        <w:t>（2）农副产品精深加工</w:t>
      </w:r>
      <w:bookmarkEnd w:id="241"/>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充分发挥全国地理北缘的优质籼米主产区优势和“宿迁籼米”地理标志农产品品牌优势，建设优质籼米标准化种植基地。大力招引稻米精深加工项目，开发优质、附加值高的稻米等精深加工产品，发展米制主食品、方便食品、休闲食品等产品，延伸发展饲料加工。大力发展优质专用、营养强化米、中式面点专用面粉等特色产品，开展米面精深加工、农产品质量安全全程管控等技术攻关，提高粮食加工转化率。持续加强品牌营销，提升“蟹园大米”等品牌影响力。通过项目招引培育，延伸发展原粮加工和检测设备。大力发展休闲食品、饮料、奶制品等。</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42" w:name="_Toc8718"/>
      <w:r>
        <w:rPr>
          <w:rFonts w:hint="default" w:ascii="Times New Roman" w:hAnsi="Times New Roman" w:eastAsia="方正仿宋_GBK" w:cs="Times New Roman"/>
          <w:b w:val="0"/>
          <w:bCs w:val="0"/>
          <w:szCs w:val="32"/>
        </w:rPr>
        <w:t>（3）水产品精深加工</w:t>
      </w:r>
      <w:bookmarkEnd w:id="242"/>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聚焦白丝鱼、银鱼、霸王蟹、龙虾、调味河蚬等特色淡水产品精深加工，大力发展冻鱼片、冻虾、冷冻鱼糜及鱼糜制品、鱼丸等冷冻调理产品。发展各类罐头及软罐头方便食品，以及虾精、虾露、虾油等调味品。开发莲子、芡实、荷藕等水生植物休闲食品和加工品。</w:t>
      </w:r>
    </w:p>
    <w:p>
      <w:pPr>
        <w:jc w:val="center"/>
        <w:rPr>
          <w:rFonts w:hint="default" w:ascii="Times New Roman" w:hAnsi="Times New Roman" w:eastAsia="方正黑体_GBK" w:cs="Times New Roman"/>
          <w:b w:val="0"/>
          <w:bCs w:val="0"/>
          <w:sz w:val="24"/>
          <w:szCs w:val="24"/>
        </w:rPr>
      </w:pPr>
      <w:r>
        <w:rPr>
          <w:rFonts w:hint="default" w:ascii="Times New Roman" w:hAnsi="Times New Roman" w:eastAsia="方正黑体_GBK" w:cs="Times New Roman"/>
          <w:b w:val="0"/>
          <w:bCs w:val="0"/>
          <w:sz w:val="24"/>
          <w:szCs w:val="24"/>
        </w:rPr>
        <w:t>表4-8  宿迁临港绿色食品产业布局和重点发展方向</w:t>
      </w:r>
    </w:p>
    <w:tbl>
      <w:tblPr>
        <w:tblStyle w:val="27"/>
        <w:tblW w:w="49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2400"/>
        <w:gridCol w:w="1570"/>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blHeader/>
          <w:jc w:val="center"/>
        </w:trPr>
        <w:tc>
          <w:tcPr>
            <w:tcW w:w="609"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重点产业</w:t>
            </w:r>
          </w:p>
        </w:tc>
        <w:tc>
          <w:tcPr>
            <w:tcW w:w="1345"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细分产业</w:t>
            </w:r>
          </w:p>
        </w:tc>
        <w:tc>
          <w:tcPr>
            <w:tcW w:w="880"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重点区县</w:t>
            </w:r>
          </w:p>
        </w:tc>
        <w:tc>
          <w:tcPr>
            <w:tcW w:w="2165"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依托载体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609"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绿色食品</w:t>
            </w:r>
          </w:p>
        </w:tc>
        <w:tc>
          <w:tcPr>
            <w:tcW w:w="1345" w:type="pct"/>
            <w:vMerge w:val="restart"/>
            <w:vAlign w:val="center"/>
          </w:tcPr>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酿造（酒）</w:t>
            </w:r>
          </w:p>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农副产品精深加工</w:t>
            </w:r>
          </w:p>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spacing w:val="-14"/>
                <w:kern w:val="0"/>
                <w:szCs w:val="21"/>
                <w14:ligatures w14:val="none"/>
              </w:rPr>
            </w:pPr>
            <w:r>
              <w:rPr>
                <w:rFonts w:hint="default" w:ascii="Times New Roman" w:hAnsi="Times New Roman" w:eastAsia="方正仿宋_GBK" w:cs="Times New Roman"/>
                <w:b w:val="0"/>
                <w:bCs w:val="0"/>
                <w:color w:val="000000"/>
                <w:kern w:val="0"/>
                <w:szCs w:val="21"/>
                <w14:ligatures w14:val="none"/>
              </w:rPr>
              <w:t>水产品精深加工</w:t>
            </w:r>
          </w:p>
        </w:tc>
        <w:tc>
          <w:tcPr>
            <w:tcW w:w="880" w:type="pct"/>
            <w:vAlign w:val="center"/>
          </w:tcPr>
          <w:p>
            <w:pPr>
              <w:spacing w:line="240" w:lineRule="exact"/>
              <w:jc w:val="center"/>
              <w:rPr>
                <w:rFonts w:hint="eastAsia" w:ascii="Times New Roman" w:hAnsi="Times New Roman" w:eastAsia="方正仿宋_GBK" w:cs="Times New Roman"/>
                <w:b w:val="0"/>
                <w:bCs w:val="0"/>
                <w:szCs w:val="21"/>
                <w:lang w:eastAsia="zh-CN"/>
              </w:rPr>
            </w:pPr>
            <w:r>
              <w:rPr>
                <w:rFonts w:hint="default" w:ascii="Times New Roman" w:hAnsi="Times New Roman" w:eastAsia="方正仿宋_GBK" w:cs="Times New Roman"/>
                <w:b w:val="0"/>
                <w:bCs w:val="0"/>
                <w:szCs w:val="21"/>
              </w:rPr>
              <w:t>泗阳县</w:t>
            </w:r>
          </w:p>
        </w:tc>
        <w:tc>
          <w:tcPr>
            <w:tcW w:w="2165" w:type="pct"/>
            <w:vAlign w:val="center"/>
          </w:tcPr>
          <w:p>
            <w:pPr>
              <w:pStyle w:val="39"/>
              <w:numPr>
                <w:ilvl w:val="0"/>
                <w:numId w:val="5"/>
              </w:numPr>
              <w:spacing w:line="240" w:lineRule="exact"/>
              <w:ind w:left="176" w:leftChars="0" w:hanging="176"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泗阳现代农业产业园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60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1345" w:type="pct"/>
            <w:vMerge w:val="continue"/>
          </w:tcPr>
          <w:p>
            <w:pPr>
              <w:spacing w:line="240" w:lineRule="exact"/>
              <w:jc w:val="center"/>
              <w:rPr>
                <w:rFonts w:hint="default" w:ascii="Times New Roman" w:hAnsi="Times New Roman" w:eastAsia="方正仿宋_GBK" w:cs="Times New Roman"/>
                <w:b w:val="0"/>
                <w:bCs w:val="0"/>
                <w:szCs w:val="21"/>
              </w:rPr>
            </w:pPr>
          </w:p>
        </w:tc>
        <w:tc>
          <w:tcPr>
            <w:tcW w:w="88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泗洪县</w:t>
            </w:r>
          </w:p>
        </w:tc>
        <w:tc>
          <w:tcPr>
            <w:tcW w:w="2165" w:type="pct"/>
            <w:vAlign w:val="center"/>
          </w:tcPr>
          <w:p>
            <w:pPr>
              <w:pStyle w:val="39"/>
              <w:numPr>
                <w:ilvl w:val="0"/>
                <w:numId w:val="5"/>
              </w:numPr>
              <w:spacing w:line="240" w:lineRule="exact"/>
              <w:ind w:left="176" w:hanging="176"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kern w:val="0"/>
                <w:szCs w:val="21"/>
                <w14:ligatures w14:val="none"/>
              </w:rPr>
              <w:t>双沟临港产业园</w:t>
            </w:r>
          </w:p>
          <w:p>
            <w:pPr>
              <w:pStyle w:val="39"/>
              <w:numPr>
                <w:ilvl w:val="0"/>
                <w:numId w:val="5"/>
              </w:numPr>
              <w:spacing w:line="240" w:lineRule="exact"/>
              <w:ind w:left="176" w:leftChars="0" w:hanging="176"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color w:val="000000"/>
                <w:kern w:val="0"/>
                <w:szCs w:val="21"/>
                <w14:ligatures w14:val="none"/>
              </w:rPr>
              <w:t>西南岗产业园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0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1345" w:type="pct"/>
            <w:vMerge w:val="continue"/>
          </w:tcPr>
          <w:p>
            <w:pPr>
              <w:spacing w:line="240" w:lineRule="exact"/>
              <w:jc w:val="center"/>
              <w:rPr>
                <w:rFonts w:hint="default" w:ascii="Times New Roman" w:hAnsi="Times New Roman" w:eastAsia="方正仿宋_GBK" w:cs="Times New Roman"/>
                <w:b w:val="0"/>
                <w:bCs w:val="0"/>
                <w:szCs w:val="21"/>
              </w:rPr>
            </w:pPr>
          </w:p>
        </w:tc>
        <w:tc>
          <w:tcPr>
            <w:tcW w:w="880" w:type="pct"/>
            <w:vAlign w:val="center"/>
          </w:tcPr>
          <w:p>
            <w:pPr>
              <w:spacing w:line="240" w:lineRule="exact"/>
              <w:jc w:val="center"/>
              <w:rPr>
                <w:rFonts w:hint="default" w:ascii="Times New Roman" w:hAnsi="Times New Roman" w:eastAsia="方正仿宋_GBK" w:cs="Times New Roman"/>
                <w:b w:val="0"/>
                <w:bCs w:val="0"/>
                <w:spacing w:val="-14"/>
                <w:szCs w:val="21"/>
              </w:rPr>
            </w:pPr>
            <w:r>
              <w:rPr>
                <w:rFonts w:hint="default" w:ascii="Times New Roman" w:hAnsi="Times New Roman" w:eastAsia="方正仿宋_GBK" w:cs="Times New Roman"/>
                <w:b w:val="0"/>
                <w:bCs w:val="0"/>
                <w:szCs w:val="21"/>
              </w:rPr>
              <w:t>宿迁经开区</w:t>
            </w:r>
          </w:p>
        </w:tc>
        <w:tc>
          <w:tcPr>
            <w:tcW w:w="2165" w:type="pct"/>
            <w:vAlign w:val="center"/>
          </w:tcPr>
          <w:p>
            <w:pPr>
              <w:pStyle w:val="39"/>
              <w:numPr>
                <w:ilvl w:val="0"/>
                <w:numId w:val="5"/>
              </w:numPr>
              <w:spacing w:line="240" w:lineRule="exact"/>
              <w:ind w:left="176" w:leftChars="0" w:hanging="176"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kern w:val="0"/>
                <w:szCs w:val="21"/>
                <w14:ligatures w14:val="none"/>
              </w:rPr>
              <w:t>宿迁经济技术开发区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0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1345" w:type="pct"/>
            <w:vMerge w:val="continue"/>
          </w:tcPr>
          <w:p>
            <w:pPr>
              <w:spacing w:line="240" w:lineRule="exact"/>
              <w:jc w:val="center"/>
              <w:rPr>
                <w:rFonts w:hint="default" w:ascii="Times New Roman" w:hAnsi="Times New Roman" w:eastAsia="方正仿宋_GBK" w:cs="Times New Roman"/>
                <w:b w:val="0"/>
                <w:bCs w:val="0"/>
                <w:szCs w:val="21"/>
              </w:rPr>
            </w:pPr>
          </w:p>
        </w:tc>
        <w:tc>
          <w:tcPr>
            <w:tcW w:w="880" w:type="pct"/>
            <w:vAlign w:val="center"/>
          </w:tcPr>
          <w:p>
            <w:pPr>
              <w:spacing w:line="240" w:lineRule="exact"/>
              <w:jc w:val="center"/>
              <w:rPr>
                <w:rFonts w:hint="default" w:ascii="Times New Roman" w:hAnsi="Times New Roman" w:eastAsia="方正仿宋_GBK" w:cs="Times New Roman"/>
                <w:b w:val="0"/>
                <w:bCs w:val="0"/>
                <w:szCs w:val="21"/>
              </w:rPr>
            </w:pPr>
            <w:r>
              <w:rPr>
                <w:rFonts w:hint="eastAsia" w:ascii="Times New Roman" w:hAnsi="Times New Roman" w:eastAsia="方正仿宋_GBK" w:cs="Times New Roman"/>
                <w:b w:val="0"/>
                <w:bCs w:val="0"/>
                <w:color w:val="000000"/>
                <w:kern w:val="0"/>
                <w:szCs w:val="21"/>
                <w:lang w:eastAsia="zh-CN"/>
                <w14:ligatures w14:val="none"/>
              </w:rPr>
              <w:t>市洋河新区</w:t>
            </w:r>
          </w:p>
        </w:tc>
        <w:tc>
          <w:tcPr>
            <w:tcW w:w="2165" w:type="pct"/>
            <w:vAlign w:val="center"/>
          </w:tcPr>
          <w:p>
            <w:pPr>
              <w:pStyle w:val="39"/>
              <w:widowControl/>
              <w:numPr>
                <w:ilvl w:val="0"/>
                <w:numId w:val="5"/>
              </w:numPr>
              <w:spacing w:line="240" w:lineRule="exact"/>
              <w:ind w:left="181" w:leftChars="0"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洋河临港产业园</w:t>
            </w:r>
          </w:p>
        </w:tc>
      </w:tr>
    </w:tbl>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0"/>
        <w:textAlignment w:val="auto"/>
        <w:outlineLvl w:val="2"/>
        <w:rPr>
          <w:rFonts w:hint="default" w:ascii="Times New Roman" w:hAnsi="Times New Roman" w:eastAsia="方正楷体_GBK" w:cs="Times New Roman"/>
          <w:b w:val="0"/>
          <w:bCs w:val="0"/>
        </w:rPr>
      </w:pPr>
      <w:bookmarkStart w:id="243" w:name="_Toc14327"/>
      <w:r>
        <w:rPr>
          <w:rFonts w:hint="default" w:ascii="Times New Roman" w:hAnsi="Times New Roman" w:eastAsia="方正楷体_GBK" w:cs="Times New Roman"/>
          <w:b w:val="0"/>
          <w:bCs w:val="0"/>
        </w:rPr>
        <w:t xml:space="preserve">4. </w:t>
      </w:r>
      <w:r>
        <w:rPr>
          <w:rFonts w:hint="default" w:ascii="Times New Roman" w:hAnsi="Times New Roman" w:eastAsia="方正仿宋_GBK" w:cs="Times New Roman"/>
          <w:b w:val="0"/>
          <w:bCs w:val="0"/>
          <w:kern w:val="2"/>
          <w:sz w:val="32"/>
          <w:szCs w:val="32"/>
          <w:lang w:val="en-US" w:eastAsia="zh-CN" w:bidi="ar-SA"/>
          <w14:ligatures w14:val="standardContextual"/>
        </w:rPr>
        <w:t>绿色建材产业</w:t>
      </w:r>
      <w:bookmarkEnd w:id="243"/>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0"/>
        <w:textAlignment w:val="auto"/>
        <w:rPr>
          <w:rFonts w:hint="default" w:ascii="Times New Roman" w:hAnsi="Times New Roman" w:eastAsia="方正仿宋_GBK" w:cs="Times New Roman"/>
          <w:b w:val="0"/>
          <w:bCs w:val="0"/>
          <w:color w:val="000000" w:themeColor="text1"/>
          <w:szCs w:val="32"/>
          <w14:textFill>
            <w14:solidFill>
              <w14:schemeClr w14:val="tx1"/>
            </w14:solidFill>
          </w14:textFill>
        </w:rPr>
      </w:pPr>
      <w:r>
        <w:rPr>
          <w:rFonts w:hint="default" w:ascii="Times New Roman" w:hAnsi="Times New Roman" w:eastAsia="方正仿宋_GBK" w:cs="Times New Roman"/>
          <w:b w:val="0"/>
          <w:bCs w:val="0"/>
        </w:rPr>
        <w:t>以</w:t>
      </w:r>
      <w:r>
        <w:rPr>
          <w:rFonts w:hint="default" w:ascii="Times New Roman" w:hAnsi="Times New Roman" w:eastAsia="方正仿宋_GBK" w:cs="Times New Roman"/>
          <w:b w:val="0"/>
          <w:bCs w:val="0"/>
          <w:color w:val="000000" w:themeColor="text1"/>
          <w:szCs w:val="32"/>
          <w14:textFill>
            <w14:solidFill>
              <w14:schemeClr w14:val="tx1"/>
            </w14:solidFill>
          </w14:textFill>
        </w:rPr>
        <w:t>宿城区、沭阳县、泗阳县、泗洪县为重点，依托运河宿迁港产业园（含恒力时尚产业园）、朱湖临港产业园等特色园区，充分发挥京杭运河、宿连航道、徐洪河航道优势，紧跟绿色建材产品的智能化、环保化、功能化发展趋势，围绕绿色建筑产业应用需求，推动企业持续加强技术研发、提高产品质量，进一步发展壮大装配式建筑、环保装饰材料。到2025年，绿色建材产业规模达200亿元。</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44" w:name="_Toc26000"/>
      <w:r>
        <w:rPr>
          <w:rFonts w:hint="default" w:ascii="Times New Roman" w:hAnsi="Times New Roman" w:eastAsia="方正仿宋_GBK" w:cs="Times New Roman"/>
          <w:b w:val="0"/>
          <w:bCs w:val="0"/>
          <w:szCs w:val="32"/>
        </w:rPr>
        <w:t>（1）装配式建筑</w:t>
      </w:r>
      <w:bookmarkEnd w:id="244"/>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重点发展预制外墙、整体厨卫、飘窗、叠合阳台、预制楼梯段、预制U型梁等产品。鼓励企业打造“砂石骨料+水泥制造+协同处置+预拌混凝土+装配式建筑部品+整体服务”的全产业链。加强技术研发，不断提高预制件产品通用性、预制率和抗震性能，支持企业综合利用建筑垃圾、尾矿、废石等生产再生骨料和再生混凝土，提高生产工艺智能化、绿色化水平。</w:t>
      </w:r>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45" w:name="_Toc5559"/>
      <w:r>
        <w:rPr>
          <w:rFonts w:hint="default" w:ascii="Times New Roman" w:hAnsi="Times New Roman" w:eastAsia="方正仿宋_GBK" w:cs="Times New Roman"/>
          <w:b w:val="0"/>
          <w:bCs w:val="0"/>
          <w:szCs w:val="32"/>
        </w:rPr>
        <w:t>（2）环保装饰材料</w:t>
      </w:r>
      <w:bookmarkEnd w:id="245"/>
    </w:p>
    <w:p>
      <w:pPr>
        <w:pStyle w:val="11"/>
        <w:keepNext w:val="0"/>
        <w:keepLines w:val="0"/>
        <w:pageBreakBefore w:val="0"/>
        <w:widowControl w:val="0"/>
        <w:kinsoku/>
        <w:wordWrap/>
        <w:overflowPunct w:val="0"/>
        <w:topLinePunct w:val="0"/>
        <w:autoSpaceDE/>
        <w:autoSpaceDN/>
        <w:bidi w:val="0"/>
        <w:adjustRightInd/>
        <w:snapToGrid/>
        <w:spacing w:after="0" w:line="530" w:lineRule="exact"/>
        <w:ind w:firstLine="64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发展绿色装饰混凝土和石材、EPS阻燃型屋面材料，以及胶粉聚苯颗粒保温系统、EPS颗粒保温浆料系统等新型绿色保温隔热材料，打造保温装饰一体化墙体、节能门窗等特色产品。重点发展建筑模板、木材组件、工业化集成木梁等特色产品，提高建筑木料模数化设计和个性化定制水平。发展纤维水泥夹芯复合墙板、玻璃纤维建筑用轻质隔墙板、玻璃纤维增强水泥轻质多孔隔墙板、新型绿色建筑装饰玻璃等。</w:t>
      </w:r>
    </w:p>
    <w:p>
      <w:pPr>
        <w:jc w:val="center"/>
        <w:rPr>
          <w:rFonts w:hint="default" w:ascii="Times New Roman" w:hAnsi="Times New Roman" w:eastAsia="方正黑体_GBK" w:cs="Times New Roman"/>
          <w:b w:val="0"/>
          <w:bCs w:val="0"/>
          <w:color w:val="000000"/>
          <w:sz w:val="24"/>
          <w:szCs w:val="24"/>
          <w14:ligatures w14:val="none"/>
        </w:rPr>
      </w:pPr>
      <w:r>
        <w:rPr>
          <w:rFonts w:hint="default" w:ascii="Times New Roman" w:hAnsi="Times New Roman" w:eastAsia="方正黑体_GBK" w:cs="Times New Roman"/>
          <w:b w:val="0"/>
          <w:bCs w:val="0"/>
          <w:color w:val="000000"/>
          <w:sz w:val="24"/>
          <w:szCs w:val="24"/>
          <w14:ligatures w14:val="none"/>
        </w:rPr>
        <w:t>表4-9  宿迁</w:t>
      </w:r>
      <w:r>
        <w:rPr>
          <w:rFonts w:hint="default" w:ascii="Times New Roman" w:hAnsi="Times New Roman" w:eastAsia="方正黑体_GBK" w:cs="Times New Roman"/>
          <w:b w:val="0"/>
          <w:bCs w:val="0"/>
          <w:sz w:val="24"/>
          <w:szCs w:val="24"/>
        </w:rPr>
        <w:t>临港</w:t>
      </w:r>
      <w:r>
        <w:rPr>
          <w:rFonts w:hint="default" w:ascii="Times New Roman" w:hAnsi="Times New Roman" w:eastAsia="方正黑体_GBK" w:cs="Times New Roman"/>
          <w:b w:val="0"/>
          <w:bCs w:val="0"/>
          <w:color w:val="000000"/>
          <w:sz w:val="24"/>
          <w:szCs w:val="24"/>
          <w14:ligatures w14:val="none"/>
        </w:rPr>
        <w:t>绿色建材产业布局和重点发展方向</w:t>
      </w:r>
    </w:p>
    <w:tbl>
      <w:tblPr>
        <w:tblStyle w:val="27"/>
        <w:tblW w:w="49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1311"/>
        <w:gridCol w:w="1851"/>
        <w:gridCol w:w="1358"/>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3" w:hRule="atLeast"/>
          <w:tblHeader/>
          <w:jc w:val="center"/>
        </w:trPr>
        <w:tc>
          <w:tcPr>
            <w:tcW w:w="742"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重点产业</w:t>
            </w:r>
          </w:p>
        </w:tc>
        <w:tc>
          <w:tcPr>
            <w:tcW w:w="1047"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细分产业</w:t>
            </w:r>
          </w:p>
        </w:tc>
        <w:tc>
          <w:tcPr>
            <w:tcW w:w="768"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重点区县</w:t>
            </w:r>
          </w:p>
        </w:tc>
        <w:tc>
          <w:tcPr>
            <w:tcW w:w="2442"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黑体_GBK" w:cs="Times New Roman"/>
                <w:b w:val="0"/>
                <w:bCs w:val="0"/>
                <w:color w:val="000000"/>
                <w:szCs w:val="21"/>
                <w14:ligatures w14:val="none"/>
              </w:rPr>
              <w:t>依托载体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3" w:hRule="atLeast"/>
          <w:jc w:val="center"/>
        </w:trPr>
        <w:tc>
          <w:tcPr>
            <w:tcW w:w="742" w:type="pct"/>
            <w:vMerge w:val="restar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绿色建材</w:t>
            </w:r>
          </w:p>
        </w:tc>
        <w:tc>
          <w:tcPr>
            <w:tcW w:w="1047" w:type="pct"/>
            <w:vMerge w:val="restart"/>
            <w:vAlign w:val="center"/>
          </w:tcPr>
          <w:p>
            <w:pPr>
              <w:pStyle w:val="39"/>
              <w:numPr>
                <w:ilvl w:val="0"/>
                <w:numId w:val="1"/>
              </w:numPr>
              <w:spacing w:line="240" w:lineRule="exact"/>
              <w:ind w:left="181" w:hanging="181" w:firstLineChars="0"/>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装配式建筑</w:t>
            </w:r>
          </w:p>
          <w:p>
            <w:pPr>
              <w:pStyle w:val="39"/>
              <w:numPr>
                <w:ilvl w:val="0"/>
                <w:numId w:val="1"/>
              </w:numPr>
              <w:spacing w:line="240" w:lineRule="exact"/>
              <w:ind w:left="181" w:hanging="181" w:firstLineChars="0"/>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环保装饰材料</w:t>
            </w:r>
          </w:p>
        </w:tc>
        <w:tc>
          <w:tcPr>
            <w:tcW w:w="768" w:type="pct"/>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r>
              <w:rPr>
                <w:rFonts w:hint="default" w:ascii="Times New Roman" w:hAnsi="Times New Roman" w:eastAsia="方正仿宋_GBK" w:cs="Times New Roman"/>
                <w:b w:val="0"/>
                <w:bCs w:val="0"/>
                <w:color w:val="000000"/>
                <w:szCs w:val="21"/>
                <w14:ligatures w14:val="none"/>
              </w:rPr>
              <w:t>沭阳县</w:t>
            </w:r>
          </w:p>
        </w:tc>
        <w:tc>
          <w:tcPr>
            <w:tcW w:w="2442" w:type="pct"/>
            <w:vAlign w:val="center"/>
          </w:tcPr>
          <w:p>
            <w:pPr>
              <w:pStyle w:val="39"/>
              <w:numPr>
                <w:ilvl w:val="0"/>
                <w:numId w:val="1"/>
              </w:numPr>
              <w:spacing w:line="240" w:lineRule="exact"/>
              <w:ind w:left="181" w:hanging="181" w:firstLineChars="0"/>
              <w:rPr>
                <w:rFonts w:hint="default" w:ascii="Times New Roman" w:hAnsi="Times New Roman" w:eastAsia="方正仿宋_GBK" w:cs="Times New Roman"/>
                <w:b w:val="0"/>
                <w:bCs w:val="0"/>
                <w:color w:val="000000"/>
                <w:spacing w:val="-20"/>
                <w:szCs w:val="21"/>
                <w14:ligatures w14:val="none"/>
              </w:rPr>
            </w:pPr>
            <w:r>
              <w:rPr>
                <w:rFonts w:hint="default" w:ascii="Times New Roman" w:hAnsi="Times New Roman" w:eastAsia="方正仿宋_GBK" w:cs="Times New Roman"/>
                <w:b w:val="0"/>
                <w:bCs w:val="0"/>
                <w:kern w:val="0"/>
                <w:szCs w:val="21"/>
                <w14:ligatures w14:val="none"/>
              </w:rPr>
              <w:t>扎下镇工业园区</w:t>
            </w:r>
          </w:p>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kern w:val="0"/>
                <w:szCs w:val="21"/>
                <w14:ligatures w14:val="none"/>
              </w:rPr>
              <w:t>桑墟镇工业园区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41" w:hRule="atLeast"/>
          <w:jc w:val="center"/>
        </w:trPr>
        <w:tc>
          <w:tcPr>
            <w:tcW w:w="742"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1047" w:type="pct"/>
            <w:vMerge w:val="continue"/>
          </w:tcPr>
          <w:p>
            <w:pPr>
              <w:spacing w:line="240" w:lineRule="exact"/>
              <w:jc w:val="center"/>
              <w:rPr>
                <w:rFonts w:hint="default" w:ascii="Times New Roman" w:hAnsi="Times New Roman" w:eastAsia="方正仿宋_GBK" w:cs="Times New Roman"/>
                <w:b w:val="0"/>
                <w:bCs w:val="0"/>
                <w:color w:val="000000"/>
                <w:szCs w:val="21"/>
                <w14:ligatures w14:val="none"/>
              </w:rPr>
            </w:pPr>
          </w:p>
        </w:tc>
        <w:tc>
          <w:tcPr>
            <w:tcW w:w="768" w:type="pct"/>
            <w:vAlign w:val="center"/>
          </w:tcPr>
          <w:p>
            <w:pPr>
              <w:spacing w:line="240" w:lineRule="exact"/>
              <w:jc w:val="center"/>
              <w:rPr>
                <w:rFonts w:hint="default" w:ascii="Times New Roman" w:hAnsi="Times New Roman" w:eastAsia="方正仿宋_GBK" w:cs="Times New Roman"/>
                <w:b w:val="0"/>
                <w:bCs w:val="0"/>
                <w:color w:val="000000"/>
                <w:spacing w:val="-30"/>
                <w:szCs w:val="21"/>
                <w14:ligatures w14:val="none"/>
              </w:rPr>
            </w:pPr>
            <w:r>
              <w:rPr>
                <w:rFonts w:hint="default" w:ascii="Times New Roman" w:hAnsi="Times New Roman" w:eastAsia="方正仿宋_GBK" w:cs="Times New Roman"/>
                <w:b w:val="0"/>
                <w:bCs w:val="0"/>
                <w:color w:val="000000"/>
                <w:kern w:val="0"/>
                <w:szCs w:val="21"/>
                <w14:ligatures w14:val="none"/>
              </w:rPr>
              <w:t>泗阳县</w:t>
            </w:r>
          </w:p>
        </w:tc>
        <w:tc>
          <w:tcPr>
            <w:tcW w:w="2442" w:type="pct"/>
            <w:vAlign w:val="center"/>
          </w:tcPr>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pacing w:val="-20"/>
                <w:szCs w:val="21"/>
                <w14:ligatures w14:val="none"/>
              </w:rPr>
            </w:pPr>
            <w:r>
              <w:rPr>
                <w:rFonts w:hint="default" w:ascii="Times New Roman" w:hAnsi="Times New Roman" w:eastAsia="方正仿宋_GBK" w:cs="Times New Roman"/>
                <w:b w:val="0"/>
                <w:bCs w:val="0"/>
                <w:color w:val="000000"/>
                <w:spacing w:val="-16"/>
                <w:kern w:val="0"/>
                <w:szCs w:val="21"/>
                <w14:ligatures w14:val="none"/>
              </w:rPr>
              <w:t>泗阳高新技术产业开发区</w:t>
            </w:r>
            <w:r>
              <w:rPr>
                <w:rFonts w:hint="default" w:ascii="Times New Roman" w:hAnsi="Times New Roman" w:eastAsia="方正仿宋_GBK" w:cs="Times New Roman"/>
                <w:b w:val="0"/>
                <w:bCs w:val="0"/>
                <w:color w:val="000000"/>
                <w:spacing w:val="-16"/>
                <w:szCs w:val="21"/>
                <w14:ligatures w14:val="none"/>
              </w:rPr>
              <w:t>（含吴江泗阳工业园）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3" w:hRule="atLeast"/>
          <w:jc w:val="center"/>
        </w:trPr>
        <w:tc>
          <w:tcPr>
            <w:tcW w:w="742"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1047" w:type="pct"/>
            <w:vMerge w:val="continue"/>
          </w:tcPr>
          <w:p>
            <w:pPr>
              <w:spacing w:line="240" w:lineRule="exact"/>
              <w:jc w:val="center"/>
              <w:rPr>
                <w:rFonts w:hint="default" w:ascii="Times New Roman" w:hAnsi="Times New Roman" w:eastAsia="方正仿宋_GBK" w:cs="Times New Roman"/>
                <w:b w:val="0"/>
                <w:bCs w:val="0"/>
                <w:color w:val="000000"/>
                <w:kern w:val="0"/>
                <w:szCs w:val="21"/>
                <w14:ligatures w14:val="none"/>
              </w:rPr>
            </w:pPr>
          </w:p>
        </w:tc>
        <w:tc>
          <w:tcPr>
            <w:tcW w:w="768" w:type="pct"/>
            <w:vAlign w:val="center"/>
          </w:tcPr>
          <w:p>
            <w:pPr>
              <w:spacing w:line="240" w:lineRule="exact"/>
              <w:jc w:val="center"/>
              <w:rPr>
                <w:rFonts w:hint="default" w:ascii="Times New Roman" w:hAnsi="Times New Roman" w:eastAsia="方正仿宋_GBK" w:cs="Times New Roman"/>
                <w:b w:val="0"/>
                <w:bCs w:val="0"/>
                <w:color w:val="000000"/>
                <w:szCs w:val="21"/>
                <w14:ligatures w14:val="none"/>
              </w:rPr>
            </w:pPr>
            <w:r>
              <w:rPr>
                <w:rFonts w:hint="default" w:ascii="Times New Roman" w:hAnsi="Times New Roman" w:eastAsia="方正仿宋_GBK" w:cs="Times New Roman"/>
                <w:b w:val="0"/>
                <w:bCs w:val="0"/>
                <w:color w:val="000000"/>
                <w:kern w:val="0"/>
                <w:szCs w:val="21"/>
                <w14:ligatures w14:val="none"/>
              </w:rPr>
              <w:t>泗洪县</w:t>
            </w:r>
          </w:p>
        </w:tc>
        <w:tc>
          <w:tcPr>
            <w:tcW w:w="2442" w:type="pct"/>
            <w:vAlign w:val="center"/>
          </w:tcPr>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spacing w:val="-16"/>
                <w:szCs w:val="21"/>
                <w14:ligatures w14:val="none"/>
              </w:rPr>
            </w:pPr>
            <w:r>
              <w:rPr>
                <w:rFonts w:hint="default" w:ascii="Times New Roman" w:hAnsi="Times New Roman" w:eastAsia="方正仿宋_GBK" w:cs="Times New Roman"/>
                <w:b w:val="0"/>
                <w:bCs w:val="0"/>
                <w:color w:val="000000"/>
                <w:kern w:val="0"/>
                <w:szCs w:val="21"/>
                <w14:ligatures w14:val="none"/>
              </w:rPr>
              <w:t>朱湖临港产业园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61" w:hRule="atLeast"/>
          <w:jc w:val="center"/>
        </w:trPr>
        <w:tc>
          <w:tcPr>
            <w:tcW w:w="742" w:type="pct"/>
            <w:vMerge w:val="continue"/>
            <w:vAlign w:val="center"/>
          </w:tcPr>
          <w:p>
            <w:pPr>
              <w:spacing w:line="240" w:lineRule="exact"/>
              <w:jc w:val="center"/>
              <w:rPr>
                <w:rFonts w:hint="default" w:ascii="Times New Roman" w:hAnsi="Times New Roman" w:eastAsia="方正黑体_GBK" w:cs="Times New Roman"/>
                <w:b w:val="0"/>
                <w:bCs w:val="0"/>
                <w:color w:val="000000"/>
                <w:szCs w:val="21"/>
                <w14:ligatures w14:val="none"/>
              </w:rPr>
            </w:pPr>
          </w:p>
        </w:tc>
        <w:tc>
          <w:tcPr>
            <w:tcW w:w="1047" w:type="pct"/>
            <w:vMerge w:val="continue"/>
          </w:tcPr>
          <w:p>
            <w:pPr>
              <w:spacing w:line="240" w:lineRule="exact"/>
              <w:jc w:val="center"/>
              <w:rPr>
                <w:rFonts w:hint="default" w:ascii="Times New Roman" w:hAnsi="Times New Roman" w:eastAsia="方正仿宋_GBK" w:cs="Times New Roman"/>
                <w:b w:val="0"/>
                <w:bCs w:val="0"/>
                <w:color w:val="000000"/>
                <w:kern w:val="0"/>
                <w:szCs w:val="21"/>
                <w14:ligatures w14:val="none"/>
              </w:rPr>
            </w:pPr>
          </w:p>
        </w:tc>
        <w:tc>
          <w:tcPr>
            <w:tcW w:w="768" w:type="pct"/>
            <w:vAlign w:val="center"/>
          </w:tcPr>
          <w:p>
            <w:pPr>
              <w:spacing w:line="240" w:lineRule="exact"/>
              <w:jc w:val="center"/>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szCs w:val="21"/>
                <w14:ligatures w14:val="none"/>
              </w:rPr>
              <w:t>宿城区</w:t>
            </w:r>
          </w:p>
        </w:tc>
        <w:tc>
          <w:tcPr>
            <w:tcW w:w="2442" w:type="pct"/>
            <w:vAlign w:val="center"/>
          </w:tcPr>
          <w:p>
            <w:pPr>
              <w:pStyle w:val="39"/>
              <w:numPr>
                <w:ilvl w:val="0"/>
                <w:numId w:val="1"/>
              </w:numPr>
              <w:spacing w:line="240" w:lineRule="exact"/>
              <w:ind w:left="181" w:leftChars="0"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szCs w:val="21"/>
                <w14:ligatures w14:val="none"/>
              </w:rPr>
              <w:t>运河宿迁港产业园（含恒力时尚产业园）</w:t>
            </w:r>
          </w:p>
        </w:tc>
      </w:tr>
    </w:tbl>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46" w:name="_Toc148968242"/>
      <w:bookmarkStart w:id="247" w:name="_Toc1438"/>
      <w:r>
        <w:rPr>
          <w:rFonts w:hint="default" w:ascii="Times New Roman" w:hAnsi="Times New Roman" w:eastAsia="方正楷体_GBK" w:cs="Times New Roman"/>
          <w:b w:val="0"/>
          <w:bCs w:val="0"/>
          <w:sz w:val="32"/>
          <w:szCs w:val="32"/>
        </w:rPr>
        <w:t>（三）加快发展现代港航服务业</w:t>
      </w:r>
      <w:bookmarkEnd w:id="246"/>
      <w:bookmarkEnd w:id="247"/>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优化完善宿迁港航运基础功能，大力发展现代航运物流业，同时围绕全市产业发展需求，加快集聚金融、信息、人才等高端资源要</w:t>
      </w:r>
      <w:r>
        <w:rPr>
          <w:rFonts w:hint="default" w:ascii="Times New Roman" w:hAnsi="Times New Roman" w:eastAsia="方正仿宋_GBK" w:cs="Times New Roman"/>
          <w:b w:val="0"/>
          <w:bCs w:val="0"/>
          <w:spacing w:val="-6"/>
          <w:sz w:val="32"/>
          <w:szCs w:val="32"/>
        </w:rPr>
        <w:t>素，大力拓展高端航运服务业、现代航运融合产业等现代港航服务业。</w:t>
      </w:r>
      <w:r>
        <w:rPr>
          <w:rFonts w:hint="default" w:ascii="Times New Roman" w:hAnsi="Times New Roman" w:eastAsia="方正仿宋_GBK" w:cs="Times New Roman"/>
          <w:b w:val="0"/>
          <w:bCs w:val="0"/>
          <w:sz w:val="32"/>
          <w:szCs w:val="32"/>
        </w:rPr>
        <w:t>力争到2025年，现代港航服务业规模突破</w:t>
      </w:r>
      <w:r>
        <w:rPr>
          <w:rFonts w:hint="default" w:ascii="Times New Roman" w:hAnsi="Times New Roman" w:eastAsia="方正仿宋_GBK" w:cs="Times New Roman"/>
          <w:b w:val="0"/>
          <w:bCs w:val="0"/>
          <w:sz w:val="32"/>
          <w:szCs w:val="32"/>
          <w:lang w:val="en-US" w:eastAsia="zh-CN"/>
        </w:rPr>
        <w:t>100</w:t>
      </w:r>
      <w:r>
        <w:rPr>
          <w:rFonts w:hint="default" w:ascii="Times New Roman" w:hAnsi="Times New Roman" w:eastAsia="方正仿宋_GBK" w:cs="Times New Roman"/>
          <w:b w:val="0"/>
          <w:bCs w:val="0"/>
          <w:sz w:val="32"/>
          <w:szCs w:val="32"/>
        </w:rPr>
        <w:t>亿元。</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outlineLvl w:val="2"/>
        <w:rPr>
          <w:rFonts w:hint="default" w:ascii="Times New Roman" w:hAnsi="Times New Roman" w:eastAsia="方正楷体_GBK" w:cs="Times New Roman"/>
          <w:b w:val="0"/>
          <w:bCs w:val="0"/>
          <w:sz w:val="32"/>
          <w:szCs w:val="36"/>
        </w:rPr>
      </w:pPr>
      <w:bookmarkStart w:id="248" w:name="_Toc29507"/>
      <w:bookmarkStart w:id="249" w:name="_Toc148968243"/>
      <w:r>
        <w:rPr>
          <w:rFonts w:hint="default" w:ascii="Times New Roman" w:hAnsi="Times New Roman" w:eastAsia="方正楷体_GBK" w:cs="Times New Roman"/>
          <w:b w:val="0"/>
          <w:bCs w:val="0"/>
          <w:sz w:val="32"/>
          <w:szCs w:val="36"/>
        </w:rPr>
        <w:t xml:space="preserve">1. </w:t>
      </w:r>
      <w:r>
        <w:rPr>
          <w:rFonts w:hint="default" w:ascii="Times New Roman" w:hAnsi="Times New Roman" w:eastAsia="方正仿宋_GBK" w:cs="Times New Roman"/>
          <w:b w:val="0"/>
          <w:bCs w:val="0"/>
          <w:kern w:val="2"/>
          <w:sz w:val="32"/>
          <w:szCs w:val="32"/>
          <w:lang w:val="en-US" w:eastAsia="zh-CN" w:bidi="ar-SA"/>
          <w14:ligatures w14:val="standardContextual"/>
        </w:rPr>
        <w:t>现代航运物流业</w:t>
      </w:r>
      <w:bookmarkEnd w:id="248"/>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6"/>
        </w:rPr>
      </w:pPr>
      <w:r>
        <w:rPr>
          <w:rFonts w:hint="default" w:ascii="Times New Roman" w:hAnsi="Times New Roman" w:eastAsia="方正仿宋_GBK" w:cs="Times New Roman"/>
          <w:b w:val="0"/>
          <w:bCs w:val="0"/>
          <w:sz w:val="32"/>
          <w:szCs w:val="36"/>
        </w:rPr>
        <w:t>围绕全市及周边地区的航运物流需求，以中心港区、沭阳港区、泗阳港区、泗洪港区以及核心园区为重点，进一步放大京杭运河黄金水道优势，抢抓宿连航道建设契机，推动传统航运物流业转型升级，鼓励企业利用新技术新装备，围绕货物运输、仓储加工等环节，创新商业模式，优化产品和服务，大力发展冷链物流、供应链物流、专业物流等高端航运物流产业，降低企业物流运输成本，提升航运物流对临港及全市产业发展的支撑作用。到2025年，现代航运物流产业规模达</w:t>
      </w:r>
      <w:r>
        <w:rPr>
          <w:rFonts w:hint="default" w:ascii="Times New Roman" w:hAnsi="Times New Roman" w:eastAsia="方正仿宋_GBK" w:cs="Times New Roman"/>
          <w:b w:val="0"/>
          <w:bCs w:val="0"/>
          <w:sz w:val="32"/>
          <w:szCs w:val="36"/>
          <w:lang w:val="en-US" w:eastAsia="zh-CN"/>
        </w:rPr>
        <w:t>60</w:t>
      </w:r>
      <w:r>
        <w:rPr>
          <w:rFonts w:hint="default" w:ascii="Times New Roman" w:hAnsi="Times New Roman" w:eastAsia="方正仿宋_GBK" w:cs="Times New Roman"/>
          <w:b w:val="0"/>
          <w:bCs w:val="0"/>
          <w:sz w:val="32"/>
          <w:szCs w:val="36"/>
        </w:rPr>
        <w:t>亿元。</w:t>
      </w:r>
      <w:bookmarkEnd w:id="249"/>
    </w:p>
    <w:p>
      <w:pPr>
        <w:pStyle w:val="11"/>
        <w:keepNext w:val="0"/>
        <w:keepLines w:val="0"/>
        <w:pageBreakBefore w:val="0"/>
        <w:widowControl w:val="0"/>
        <w:kinsoku/>
        <w:wordWrap/>
        <w:overflowPunct/>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50" w:name="_Toc30456"/>
      <w:r>
        <w:rPr>
          <w:rFonts w:hint="default" w:ascii="Times New Roman" w:hAnsi="Times New Roman" w:eastAsia="方正仿宋_GBK" w:cs="Times New Roman"/>
          <w:b w:val="0"/>
          <w:bCs w:val="0"/>
          <w:szCs w:val="32"/>
        </w:rPr>
        <w:t>（1）冷链物流</w:t>
      </w:r>
      <w:bookmarkEnd w:id="250"/>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大力发展全程冷链集装箱运输，对标国际先进技术标准，建设完善多温层、大容量和超低温的港口公共冷库及相关配套设施。鼓励冷链物流企业探索“水运+冷藏班列”等联运新模式，优化物流通道布局，促进形成与国际海运、陆海联运、国际班列等有机结合的联运服务模式。探索建立港口冷链运输与城市配送相结合的港口服务新模式，大力发展“生鲜电商+冷链宅配”“冷链配送+连锁零售”“电商直播+冷链配送”“中央厨房+冷链共配”等模式。</w:t>
      </w:r>
    </w:p>
    <w:p>
      <w:pPr>
        <w:pStyle w:val="11"/>
        <w:keepNext w:val="0"/>
        <w:keepLines w:val="0"/>
        <w:pageBreakBefore w:val="0"/>
        <w:widowControl w:val="0"/>
        <w:kinsoku/>
        <w:wordWrap/>
        <w:overflowPunct/>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51" w:name="_Toc14302"/>
      <w:r>
        <w:rPr>
          <w:rFonts w:hint="default" w:ascii="Times New Roman" w:hAnsi="Times New Roman" w:eastAsia="方正仿宋_GBK" w:cs="Times New Roman"/>
          <w:b w:val="0"/>
          <w:bCs w:val="0"/>
          <w:szCs w:val="32"/>
        </w:rPr>
        <w:t>（2）供应链物流</w:t>
      </w:r>
      <w:bookmarkEnd w:id="251"/>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大力推动物流业与制造业深度融合，培育一批与产业深度协作的生产服务型物流设施和供应链协同平台，鼓励物流企业为制造企业提供供应链管理库存、线边物流等个性化解决方案，构建高度协同、响应快速、安全稳定、智慧高效的供应链物流体系。探索发展国际供应链物流服务，吸引国际采购商设立区域采购、分拨配送中心，引进培育一批国内外供应链集成商、贸易物流综合服务商。</w:t>
      </w:r>
    </w:p>
    <w:p>
      <w:pPr>
        <w:pStyle w:val="11"/>
        <w:keepNext w:val="0"/>
        <w:keepLines w:val="0"/>
        <w:pageBreakBefore w:val="0"/>
        <w:widowControl w:val="0"/>
        <w:kinsoku/>
        <w:wordWrap/>
        <w:overflowPunct/>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52" w:name="_Toc15180"/>
      <w:r>
        <w:rPr>
          <w:rFonts w:hint="default" w:ascii="Times New Roman" w:hAnsi="Times New Roman" w:eastAsia="方正仿宋_GBK" w:cs="Times New Roman"/>
          <w:b w:val="0"/>
          <w:bCs w:val="0"/>
          <w:szCs w:val="32"/>
        </w:rPr>
        <w:t>（3）大宗商品物流</w:t>
      </w:r>
      <w:bookmarkEnd w:id="252"/>
    </w:p>
    <w:p>
      <w:pPr>
        <w:pStyle w:val="11"/>
        <w:keepNext w:val="0"/>
        <w:keepLines w:val="0"/>
        <w:pageBreakBefore w:val="0"/>
        <w:widowControl w:val="0"/>
        <w:kinsoku/>
        <w:wordWrap/>
        <w:overflowPunct/>
        <w:topLinePunct w:val="0"/>
        <w:autoSpaceDE/>
        <w:autoSpaceDN/>
        <w:bidi w:val="0"/>
        <w:adjustRightInd/>
        <w:snapToGrid/>
        <w:spacing w:after="0" w:line="530" w:lineRule="exact"/>
        <w:ind w:firstLine="640"/>
        <w:textAlignment w:val="auto"/>
        <w:rPr>
          <w:rFonts w:hint="default" w:ascii="Times New Roman" w:hAnsi="Times New Roman" w:eastAsia="方正仿宋_GBK" w:cs="Times New Roman"/>
          <w:b w:val="0"/>
          <w:bCs w:val="0"/>
          <w:szCs w:val="32"/>
        </w:rPr>
      </w:pPr>
      <w:r>
        <w:rPr>
          <w:rFonts w:hint="default" w:ascii="Times New Roman" w:hAnsi="Times New Roman" w:eastAsia="方正仿宋_GBK" w:cs="Times New Roman"/>
          <w:b w:val="0"/>
          <w:bCs w:val="0"/>
          <w:szCs w:val="32"/>
        </w:rPr>
        <w:t>围绕钢铁、建材、绿色化工等产业发展需求，发展大宗商品物流，推动传统贸易商模式向集成服务商模式转型，鼓励物流企业提供大宗商品交易交割、多式联运、中转集散、应急储备等一体化专业物流服务，降低客户在物流、资金流、信息流等方面的综合性成本。加快数字化技术在大宗商品物流领域的推广和应用，鼓励物流企业搭建数字化物流平台，实现仓储、运输资源、货物运输等全程各节点信息共享，并通过大数据分析进行需求预测，提升大宗商品运输效率。</w:t>
      </w:r>
    </w:p>
    <w:p>
      <w:pPr>
        <w:pStyle w:val="11"/>
        <w:keepNext w:val="0"/>
        <w:keepLines w:val="0"/>
        <w:pageBreakBefore w:val="0"/>
        <w:widowControl w:val="0"/>
        <w:kinsoku/>
        <w:wordWrap/>
        <w:overflowPunct/>
        <w:topLinePunct w:val="0"/>
        <w:autoSpaceDE/>
        <w:autoSpaceDN/>
        <w:bidi w:val="0"/>
        <w:adjustRightInd/>
        <w:snapToGrid/>
        <w:spacing w:after="0" w:line="530" w:lineRule="exact"/>
        <w:ind w:firstLine="643"/>
        <w:textAlignment w:val="auto"/>
        <w:outlineLvl w:val="3"/>
        <w:rPr>
          <w:rFonts w:hint="default" w:ascii="Times New Roman" w:hAnsi="Times New Roman" w:cs="Times New Roman"/>
          <w:b w:val="0"/>
          <w:bCs w:val="0"/>
        </w:rPr>
      </w:pPr>
      <w:bookmarkStart w:id="253" w:name="_Toc8205"/>
      <w:r>
        <w:rPr>
          <w:rFonts w:hint="default" w:ascii="Times New Roman" w:hAnsi="Times New Roman" w:eastAsia="方正仿宋_GBK" w:cs="Times New Roman"/>
          <w:b w:val="0"/>
          <w:bCs w:val="0"/>
          <w:szCs w:val="32"/>
        </w:rPr>
        <w:t>（4）国际物流</w:t>
      </w:r>
      <w:bookmarkEnd w:id="253"/>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招引培育一批远洋、沿海和内河船舶运输公司以及集装箱联运公司，重点配置发展大动力、节能、高效的运输船舶。充分发挥内河航道优势，大力发展内河集装箱，将内河集装箱运输融入内外贸集装箱运输体系。大力发展跨境电商物流服务，鼓励物流企业与跨境电商开展合作，探索发展跨境电商直邮“集货模式”、B2B直接出口模式、B2B出口海外仓模式等，推动建设一批出口货物特殊场站，提升跨境电商物流服务水平。</w:t>
      </w:r>
    </w:p>
    <w:p>
      <w:pPr>
        <w:pStyle w:val="11"/>
        <w:keepNext w:val="0"/>
        <w:keepLines w:val="0"/>
        <w:pageBreakBefore w:val="0"/>
        <w:widowControl w:val="0"/>
        <w:kinsoku/>
        <w:wordWrap/>
        <w:overflowPunct/>
        <w:topLinePunct w:val="0"/>
        <w:autoSpaceDE/>
        <w:autoSpaceDN/>
        <w:bidi w:val="0"/>
        <w:adjustRightInd/>
        <w:snapToGrid/>
        <w:spacing w:after="0" w:line="530" w:lineRule="exact"/>
        <w:ind w:firstLine="640"/>
        <w:textAlignment w:val="auto"/>
        <w:outlineLvl w:val="2"/>
        <w:rPr>
          <w:rFonts w:hint="default" w:ascii="Times New Roman" w:hAnsi="Times New Roman" w:eastAsia="方正楷体_GBK" w:cs="Times New Roman"/>
          <w:b w:val="0"/>
          <w:bCs w:val="0"/>
          <w:szCs w:val="36"/>
        </w:rPr>
      </w:pPr>
      <w:bookmarkStart w:id="254" w:name="_Toc8281"/>
      <w:bookmarkStart w:id="255" w:name="_Toc148968244"/>
      <w:r>
        <w:rPr>
          <w:rFonts w:hint="default" w:ascii="Times New Roman" w:hAnsi="Times New Roman" w:eastAsia="方正楷体_GBK" w:cs="Times New Roman"/>
          <w:b w:val="0"/>
          <w:bCs w:val="0"/>
          <w:szCs w:val="36"/>
        </w:rPr>
        <w:t xml:space="preserve">2. </w:t>
      </w:r>
      <w:r>
        <w:rPr>
          <w:rFonts w:hint="default" w:ascii="Times New Roman" w:hAnsi="Times New Roman" w:eastAsia="方正仿宋_GBK" w:cs="Times New Roman"/>
          <w:b w:val="0"/>
          <w:bCs w:val="0"/>
          <w:kern w:val="2"/>
          <w:sz w:val="32"/>
          <w:szCs w:val="32"/>
          <w:lang w:val="en-US" w:eastAsia="zh-CN" w:bidi="ar-SA"/>
          <w14:ligatures w14:val="standardContextual"/>
        </w:rPr>
        <w:t>高端航运服务业</w:t>
      </w:r>
      <w:bookmarkEnd w:id="254"/>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6"/>
        </w:rPr>
      </w:pPr>
      <w:r>
        <w:rPr>
          <w:rFonts w:hint="default" w:ascii="Times New Roman" w:hAnsi="Times New Roman" w:eastAsia="方正仿宋_GBK" w:cs="Times New Roman"/>
          <w:b w:val="0"/>
          <w:bCs w:val="0"/>
          <w:sz w:val="32"/>
          <w:szCs w:val="36"/>
        </w:rPr>
        <w:t>以中心</w:t>
      </w:r>
      <w:r>
        <w:rPr>
          <w:rFonts w:hint="default" w:ascii="Times New Roman" w:hAnsi="Times New Roman" w:eastAsia="方正仿宋_GBK" w:cs="Times New Roman"/>
          <w:b w:val="0"/>
          <w:bCs w:val="0"/>
          <w:spacing w:val="-6"/>
          <w:sz w:val="32"/>
          <w:szCs w:val="36"/>
        </w:rPr>
        <w:t>港区、沭阳港区、泗阳港区、泗洪港区以及核心园区为重点，紧抓宿连航道建设契机，发挥与连云港港的海陆联运优势，探索发展船舶服务、航运培训服务、航运要素交易服务等高端航运服务产业</w:t>
      </w:r>
      <w:r>
        <w:rPr>
          <w:rFonts w:hint="default" w:ascii="Times New Roman" w:hAnsi="Times New Roman" w:eastAsia="方正仿宋_GBK" w:cs="Times New Roman"/>
          <w:b w:val="0"/>
          <w:bCs w:val="0"/>
          <w:sz w:val="32"/>
          <w:szCs w:val="36"/>
        </w:rPr>
        <w:t>，逐步做大做强全市航运服务市场，为航运企业提供全方位的服务保障。到2025年，高端航运服务业规模达30亿元。</w:t>
      </w:r>
      <w:bookmarkEnd w:id="255"/>
    </w:p>
    <w:p>
      <w:pPr>
        <w:pStyle w:val="11"/>
        <w:keepNext w:val="0"/>
        <w:keepLines w:val="0"/>
        <w:pageBreakBefore w:val="0"/>
        <w:widowControl w:val="0"/>
        <w:kinsoku/>
        <w:wordWrap/>
        <w:overflowPunct/>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56" w:name="_Toc24763"/>
      <w:r>
        <w:rPr>
          <w:rFonts w:hint="default" w:ascii="Times New Roman" w:hAnsi="Times New Roman" w:eastAsia="方正仿宋_GBK" w:cs="Times New Roman"/>
          <w:b w:val="0"/>
          <w:bCs w:val="0"/>
          <w:szCs w:val="32"/>
        </w:rPr>
        <w:t>（1）船舶服务</w:t>
      </w:r>
      <w:bookmarkEnd w:id="256"/>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推进船代、货代等传统船舶服务业提档升级，招引培育一批具有国际竞争力的航运代理、船舶管理企业，支持本地船舶交易机构积极拓展海外市场。招引培育一批高端船舶服务机构，重点发展船舶交易、船舶供应、内河船舶修理和船舶评级检验等服务。大力发展保税油加注、LNG加注、船用物资、生活物资供应等船舶供应业务。</w:t>
      </w:r>
    </w:p>
    <w:p>
      <w:pPr>
        <w:pStyle w:val="11"/>
        <w:keepNext w:val="0"/>
        <w:keepLines w:val="0"/>
        <w:pageBreakBefore w:val="0"/>
        <w:widowControl w:val="0"/>
        <w:kinsoku/>
        <w:wordWrap/>
        <w:overflowPunct/>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57" w:name="_Toc13559"/>
      <w:r>
        <w:rPr>
          <w:rFonts w:hint="default" w:ascii="Times New Roman" w:hAnsi="Times New Roman" w:eastAsia="方正仿宋_GBK" w:cs="Times New Roman"/>
          <w:b w:val="0"/>
          <w:bCs w:val="0"/>
          <w:szCs w:val="32"/>
        </w:rPr>
        <w:t>（2）航运培训服务</w:t>
      </w:r>
      <w:bookmarkEnd w:id="257"/>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招引培育一批船员培训服务机构，加大航运专业服务人才培养，探索船员注册、管理、调配和服务一体化发展，构建涵盖船员招收、培训和就业的市场服务体系。大力发展船员中介服务，招引一批国内外知名船员服务机构，鼓励发展海员外派等业务，扩大外籍船员劳务市场。</w:t>
      </w:r>
    </w:p>
    <w:p>
      <w:pPr>
        <w:pStyle w:val="11"/>
        <w:keepNext w:val="0"/>
        <w:keepLines w:val="0"/>
        <w:pageBreakBefore w:val="0"/>
        <w:widowControl w:val="0"/>
        <w:kinsoku/>
        <w:wordWrap/>
        <w:overflowPunct/>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58" w:name="_Toc11402"/>
      <w:r>
        <w:rPr>
          <w:rFonts w:hint="default" w:ascii="Times New Roman" w:hAnsi="Times New Roman" w:eastAsia="方正仿宋_GBK" w:cs="Times New Roman"/>
          <w:b w:val="0"/>
          <w:bCs w:val="0"/>
          <w:szCs w:val="32"/>
        </w:rPr>
        <w:t>（3）航运要素交易</w:t>
      </w:r>
      <w:bookmarkEnd w:id="258"/>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大力发展综合性船舶交易服务，鼓励企业开展船舶交易经纪与鉴证、船舶拍卖与评估、航运实务咨询与代理、航运政策研究、船舶注册登记等业务。加快推广“互联网+”、区块链技术等在航运交易领域的应用，提升航运舱位交易服务水平，为航运客户提供在线询价订舱、物流跟踪、费用结算、供应链融资等交易增值服务。探索发展集装箱舱位交易、散货租船等服务，配套开展相关金融、保险、法律、公估、鉴证、经纪等服务。</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outlineLvl w:val="2"/>
        <w:rPr>
          <w:rFonts w:hint="default" w:ascii="Times New Roman" w:hAnsi="Times New Roman" w:eastAsia="方正楷体_GBK" w:cs="Times New Roman"/>
          <w:b w:val="0"/>
          <w:bCs w:val="0"/>
          <w:sz w:val="32"/>
          <w:szCs w:val="36"/>
        </w:rPr>
      </w:pPr>
      <w:bookmarkStart w:id="259" w:name="_Toc2983"/>
      <w:bookmarkStart w:id="260" w:name="_Toc148968245"/>
      <w:r>
        <w:rPr>
          <w:rFonts w:hint="default" w:ascii="Times New Roman" w:hAnsi="Times New Roman" w:eastAsia="方正楷体_GBK" w:cs="Times New Roman"/>
          <w:b w:val="0"/>
          <w:bCs w:val="0"/>
          <w:sz w:val="32"/>
          <w:szCs w:val="36"/>
        </w:rPr>
        <w:t xml:space="preserve">3. </w:t>
      </w:r>
      <w:r>
        <w:rPr>
          <w:rFonts w:hint="default" w:ascii="Times New Roman" w:hAnsi="Times New Roman" w:eastAsia="方正仿宋_GBK" w:cs="Times New Roman"/>
          <w:b w:val="0"/>
          <w:bCs w:val="0"/>
          <w:kern w:val="2"/>
          <w:sz w:val="32"/>
          <w:szCs w:val="32"/>
          <w:lang w:val="en-US" w:eastAsia="zh-CN" w:bidi="ar-SA"/>
          <w14:ligatures w14:val="standardContextual"/>
        </w:rPr>
        <w:t>现代航运融合产业</w:t>
      </w:r>
      <w:bookmarkEnd w:id="259"/>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6"/>
        </w:rPr>
      </w:pPr>
      <w:r>
        <w:rPr>
          <w:rFonts w:hint="default" w:ascii="Times New Roman" w:hAnsi="Times New Roman" w:eastAsia="方正仿宋_GBK" w:cs="Times New Roman"/>
          <w:b w:val="0"/>
          <w:bCs w:val="0"/>
          <w:sz w:val="32"/>
          <w:szCs w:val="36"/>
        </w:rPr>
        <w:t>以中心港区、沭阳港区、泗阳港区、泗洪港区以及核心园区为重点，立足宿迁港航</w:t>
      </w:r>
      <w:r>
        <w:rPr>
          <w:rFonts w:hint="default" w:ascii="Times New Roman" w:hAnsi="Times New Roman" w:eastAsia="方正仿宋_GBK" w:cs="Times New Roman"/>
          <w:b w:val="0"/>
          <w:bCs w:val="0"/>
          <w:sz w:val="32"/>
          <w:szCs w:val="32"/>
        </w:rPr>
        <w:t>发展实际需求，</w:t>
      </w:r>
      <w:r>
        <w:rPr>
          <w:rFonts w:hint="default" w:ascii="Times New Roman" w:hAnsi="Times New Roman" w:eastAsia="方正仿宋_GBK" w:cs="Times New Roman"/>
          <w:b w:val="0"/>
          <w:bCs w:val="0"/>
          <w:sz w:val="32"/>
          <w:szCs w:val="36"/>
        </w:rPr>
        <w:t>探索布局航运金融、航运保险等特色航运融合产业，加快推动港产城融合发展。到2025年，现代航运融合产业规模达10亿元。</w:t>
      </w:r>
      <w:bookmarkEnd w:id="260"/>
    </w:p>
    <w:p>
      <w:pPr>
        <w:pStyle w:val="11"/>
        <w:keepNext w:val="0"/>
        <w:keepLines w:val="0"/>
        <w:pageBreakBefore w:val="0"/>
        <w:widowControl w:val="0"/>
        <w:kinsoku/>
        <w:wordWrap/>
        <w:overflowPunct/>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61" w:name="_Toc29888"/>
      <w:r>
        <w:rPr>
          <w:rFonts w:hint="default" w:ascii="Times New Roman" w:hAnsi="Times New Roman" w:eastAsia="方正仿宋_GBK" w:cs="Times New Roman"/>
          <w:b w:val="0"/>
          <w:bCs w:val="0"/>
          <w:szCs w:val="32"/>
        </w:rPr>
        <w:t>（1）航运金融</w:t>
      </w:r>
      <w:bookmarkEnd w:id="261"/>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吸引国内外金融机构落地布局，探索发展融资租赁、债券融资、供应链金融、产业基金等特色航运金融业务。探索开发符合宿迁航运特点的融资模式和产品，为相关企业提供货运交易、船舶建造、物流仓储、多式联运、供应链融资等金融服务。积极培育涉及航运产权交易、船舶交易、设备交易、航运电商的资金支付与结算业务，争取吸引区域航运金融结算中心落户；主动与周边港口联合开展航运金融合作探索，搭建专业化金融服务平台，逐步建立健全多层次、多功能的航运金融服务体系。</w:t>
      </w:r>
    </w:p>
    <w:p>
      <w:pPr>
        <w:pStyle w:val="11"/>
        <w:keepNext w:val="0"/>
        <w:keepLines w:val="0"/>
        <w:pageBreakBefore w:val="0"/>
        <w:widowControl w:val="0"/>
        <w:kinsoku/>
        <w:wordWrap/>
        <w:overflowPunct/>
        <w:topLinePunct w:val="0"/>
        <w:autoSpaceDE/>
        <w:autoSpaceDN/>
        <w:bidi w:val="0"/>
        <w:adjustRightInd/>
        <w:snapToGrid/>
        <w:spacing w:after="0" w:line="530" w:lineRule="exact"/>
        <w:ind w:firstLine="643"/>
        <w:textAlignment w:val="auto"/>
        <w:outlineLvl w:val="3"/>
        <w:rPr>
          <w:rFonts w:hint="default" w:ascii="Times New Roman" w:hAnsi="Times New Roman" w:eastAsia="方正仿宋_GBK" w:cs="Times New Roman"/>
          <w:b w:val="0"/>
          <w:bCs w:val="0"/>
          <w:szCs w:val="32"/>
        </w:rPr>
      </w:pPr>
      <w:bookmarkStart w:id="262" w:name="_Toc24150"/>
      <w:r>
        <w:rPr>
          <w:rFonts w:hint="default" w:ascii="Times New Roman" w:hAnsi="Times New Roman" w:eastAsia="方正仿宋_GBK" w:cs="Times New Roman"/>
          <w:b w:val="0"/>
          <w:bCs w:val="0"/>
          <w:szCs w:val="32"/>
        </w:rPr>
        <w:t>（2）航运保险</w:t>
      </w:r>
      <w:bookmarkEnd w:id="262"/>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积极拓展航运保险业务，大力招引国内外保险机构落户，重点发展船舶保险、货物运输保险等。积极探索集装箱保险、船舶污染责任险、船体险、承运人责任险、码头责任险等新型航运保险业务，扩大航运保险覆盖面。完善航运保险业务中介服务体系，如船舶估价、法律咨询等，完善航运保险产业链。</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楷体_GBK" w:cs="Times New Roman"/>
          <w:b w:val="0"/>
          <w:bCs w:val="0"/>
          <w:sz w:val="32"/>
          <w:szCs w:val="36"/>
        </w:rPr>
      </w:pPr>
      <w:bookmarkStart w:id="263" w:name="_Toc19045"/>
      <w:r>
        <w:rPr>
          <w:rFonts w:hint="default" w:ascii="Times New Roman" w:hAnsi="Times New Roman" w:eastAsia="方正楷体_GBK" w:cs="Times New Roman"/>
          <w:b w:val="0"/>
          <w:bCs w:val="0"/>
          <w:sz w:val="32"/>
          <w:szCs w:val="36"/>
        </w:rPr>
        <w:t>（四）重点临港园区产业布局</w:t>
      </w:r>
      <w:bookmarkEnd w:id="263"/>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6"/>
        </w:rPr>
      </w:pPr>
      <w:r>
        <w:rPr>
          <w:rFonts w:hint="default" w:ascii="Times New Roman" w:hAnsi="Times New Roman" w:eastAsia="方正仿宋_GBK" w:cs="Times New Roman"/>
          <w:b w:val="0"/>
          <w:bCs w:val="0"/>
          <w:sz w:val="32"/>
          <w:szCs w:val="36"/>
        </w:rPr>
        <w:t>依托宿迁内河航道资源优势和港口发展基础，围绕京杭运河、宿连航道、徐洪河等高等级航道沿线，按照所处区位、服务腹地、综合交通条件、作用和贡献大小等进行功能分工，形成“1-6-9-X”的作业区格局。同时对照岸线、作业区布局及重点服务产业、企业清单，筛选临港产业空间的承载区，主要涉及临近作业区或有较高水运需求的园区，按照承载重要程度和城镇等级分为“核心园区——辐射园区——零星工业用地”三种类型。其中，毗邻岸线的重点服务园区作为核心园区，离岸线有一定距离、但对水运有需求的重要园区作为辐射园区，其他作为零散工业用地，主要涉及乡镇。</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6"/>
        </w:rPr>
      </w:pPr>
      <w:r>
        <w:rPr>
          <w:rFonts w:hint="default" w:ascii="Times New Roman" w:hAnsi="Times New Roman" w:eastAsia="方正仿宋_GBK" w:cs="Times New Roman"/>
          <w:b w:val="0"/>
          <w:bCs w:val="0"/>
          <w:sz w:val="32"/>
          <w:szCs w:val="36"/>
        </w:rPr>
        <w:t>在此基础上，综合考虑发展现状、发展空间、港口码头优势、产业基础、发展前景等因素，</w:t>
      </w:r>
      <w:bookmarkStart w:id="264" w:name="_Hlk150423419"/>
      <w:r>
        <w:rPr>
          <w:rFonts w:hint="default" w:ascii="Times New Roman" w:hAnsi="Times New Roman" w:eastAsia="方正仿宋_GBK" w:cs="Times New Roman"/>
          <w:b w:val="0"/>
          <w:bCs w:val="0"/>
          <w:sz w:val="32"/>
          <w:szCs w:val="36"/>
        </w:rPr>
        <w:t>从核心园区中遴选</w:t>
      </w:r>
      <w:r>
        <w:rPr>
          <w:rFonts w:hint="default" w:ascii="Times New Roman" w:hAnsi="Times New Roman" w:eastAsia="方正仿宋_GBK" w:cs="Times New Roman"/>
          <w:b w:val="0"/>
          <w:bCs w:val="0"/>
          <w:sz w:val="32"/>
          <w:szCs w:val="32"/>
        </w:rPr>
        <w:t>运河宿迁港产业园、宿迁高新技术产业开发区、陆集临港产业园、来龙工业园、洋河临港产业园、沭阳临港产业园、宿迁生态板材产业园、泗阳经济开发区、泗阳高</w:t>
      </w:r>
      <w:r>
        <w:rPr>
          <w:rFonts w:hint="default" w:ascii="Times New Roman" w:hAnsi="Times New Roman" w:eastAsia="方正仿宋_GBK" w:cs="Times New Roman"/>
          <w:b w:val="0"/>
          <w:bCs w:val="0"/>
          <w:sz w:val="32"/>
          <w:szCs w:val="32"/>
          <w:lang w:eastAsia="zh-CN"/>
        </w:rPr>
        <w:t>新</w:t>
      </w:r>
      <w:r>
        <w:rPr>
          <w:rFonts w:hint="default" w:ascii="Times New Roman" w:hAnsi="Times New Roman" w:eastAsia="方正仿宋_GBK" w:cs="Times New Roman"/>
          <w:b w:val="0"/>
          <w:bCs w:val="0"/>
          <w:sz w:val="32"/>
          <w:szCs w:val="32"/>
        </w:rPr>
        <w:t>技术产业开发区（含吴江泗阳工业园）、朱湖临港产业园作为重点园区，另外，将生态化工科技产业园作为连云港石化产业向下游延伸的重要承载区，综合布局打造“10+1”重点临港产业园区，</w:t>
      </w:r>
      <w:bookmarkEnd w:id="264"/>
      <w:r>
        <w:rPr>
          <w:rFonts w:hint="default" w:ascii="Times New Roman" w:hAnsi="Times New Roman" w:eastAsia="方正仿宋_GBK" w:cs="Times New Roman"/>
          <w:b w:val="0"/>
          <w:bCs w:val="0"/>
          <w:sz w:val="32"/>
          <w:szCs w:val="36"/>
        </w:rPr>
        <w:t>优先保障要素资源，优先布局重大项目，进一步做大做强临港特色产业载体。</w:t>
      </w:r>
    </w:p>
    <w:p>
      <w:pPr>
        <w:jc w:val="center"/>
        <w:rPr>
          <w:rFonts w:hint="default" w:ascii="Times New Roman" w:hAnsi="Times New Roman" w:eastAsia="方正黑体_GBK" w:cs="Times New Roman"/>
          <w:b w:val="0"/>
          <w:bCs w:val="0"/>
          <w:sz w:val="24"/>
          <w:szCs w:val="21"/>
        </w:rPr>
      </w:pPr>
      <w:r>
        <w:rPr>
          <w:rFonts w:hint="default" w:ascii="Times New Roman" w:hAnsi="Times New Roman" w:eastAsia="方正黑体_GBK" w:cs="Times New Roman"/>
          <w:b w:val="0"/>
          <w:bCs w:val="0"/>
          <w:sz w:val="24"/>
          <w:szCs w:val="21"/>
        </w:rPr>
        <w:t>表4-1</w:t>
      </w:r>
      <w:r>
        <w:rPr>
          <w:rFonts w:hint="eastAsia" w:ascii="Times New Roman" w:hAnsi="Times New Roman" w:eastAsia="方正黑体_GBK" w:cs="Times New Roman"/>
          <w:b w:val="0"/>
          <w:bCs w:val="0"/>
          <w:sz w:val="24"/>
          <w:szCs w:val="21"/>
          <w:lang w:val="en-US" w:eastAsia="zh-CN"/>
        </w:rPr>
        <w:t>0</w:t>
      </w:r>
      <w:r>
        <w:rPr>
          <w:rFonts w:hint="default" w:ascii="Times New Roman" w:hAnsi="Times New Roman" w:eastAsia="方正黑体_GBK" w:cs="Times New Roman"/>
          <w:b w:val="0"/>
          <w:bCs w:val="0"/>
          <w:sz w:val="24"/>
          <w:szCs w:val="21"/>
        </w:rPr>
        <w:t xml:space="preserve">  宿迁重点临港园区产业布局一览表</w:t>
      </w:r>
    </w:p>
    <w:tbl>
      <w:tblPr>
        <w:tblStyle w:val="27"/>
        <w:tblW w:w="49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956"/>
        <w:gridCol w:w="3037"/>
        <w:gridCol w:w="3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blHeader/>
          <w:jc w:val="center"/>
        </w:trPr>
        <w:tc>
          <w:tcPr>
            <w:tcW w:w="422"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序号</w:t>
            </w:r>
          </w:p>
        </w:tc>
        <w:tc>
          <w:tcPr>
            <w:tcW w:w="1082"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重点依托区县</w:t>
            </w:r>
          </w:p>
        </w:tc>
        <w:tc>
          <w:tcPr>
            <w:tcW w:w="1680"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重点临港产业园</w:t>
            </w:r>
          </w:p>
        </w:tc>
        <w:tc>
          <w:tcPr>
            <w:tcW w:w="1814"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重点发展的临港产业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22" w:type="pct"/>
            <w:vAlign w:val="center"/>
          </w:tcPr>
          <w:p>
            <w:pPr>
              <w:spacing w:line="240" w:lineRule="exact"/>
              <w:jc w:val="center"/>
              <w:rPr>
                <w:rFonts w:hint="eastAsia" w:ascii="Times New Roman" w:hAnsi="Times New Roman" w:eastAsia="方正仿宋_GBK" w:cs="Times New Roman"/>
                <w:b w:val="0"/>
                <w:bCs w:val="0"/>
                <w:szCs w:val="21"/>
                <w:lang w:eastAsia="zh-CN"/>
              </w:rPr>
            </w:pPr>
            <w:r>
              <w:rPr>
                <w:rFonts w:hint="eastAsia" w:ascii="Times New Roman" w:hAnsi="Times New Roman" w:eastAsia="方正仿宋_GBK" w:cs="Times New Roman"/>
                <w:b w:val="0"/>
                <w:bCs w:val="0"/>
                <w:szCs w:val="21"/>
                <w:lang w:val="en-US" w:eastAsia="zh-CN"/>
              </w:rPr>
              <w:t>1</w:t>
            </w:r>
          </w:p>
        </w:tc>
        <w:tc>
          <w:tcPr>
            <w:tcW w:w="1082"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沭阳县</w:t>
            </w:r>
          </w:p>
        </w:tc>
        <w:tc>
          <w:tcPr>
            <w:tcW w:w="168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沭阳临港产业园</w:t>
            </w:r>
          </w:p>
        </w:tc>
        <w:tc>
          <w:tcPr>
            <w:tcW w:w="1814" w:type="pct"/>
            <w:vAlign w:val="center"/>
          </w:tcPr>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高端纺织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22" w:type="pct"/>
            <w:vAlign w:val="center"/>
          </w:tcPr>
          <w:p>
            <w:pPr>
              <w:spacing w:line="240" w:lineRule="exact"/>
              <w:jc w:val="center"/>
              <w:rPr>
                <w:rFonts w:hint="eastAsia" w:ascii="Times New Roman" w:hAnsi="Times New Roman" w:eastAsia="方正仿宋_GBK" w:cs="Times New Roman"/>
                <w:b w:val="0"/>
                <w:bCs w:val="0"/>
                <w:szCs w:val="21"/>
                <w:lang w:eastAsia="zh-CN"/>
              </w:rPr>
            </w:pPr>
            <w:r>
              <w:rPr>
                <w:rFonts w:hint="eastAsia" w:ascii="Times New Roman" w:hAnsi="Times New Roman" w:eastAsia="方正仿宋_GBK" w:cs="Times New Roman"/>
                <w:b w:val="0"/>
                <w:bCs w:val="0"/>
                <w:szCs w:val="21"/>
                <w:lang w:val="en-US" w:eastAsia="zh-CN"/>
              </w:rPr>
              <w:t>2</w:t>
            </w:r>
          </w:p>
        </w:tc>
        <w:tc>
          <w:tcPr>
            <w:tcW w:w="1082"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168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宿迁生态板材产业园</w:t>
            </w:r>
          </w:p>
        </w:tc>
        <w:tc>
          <w:tcPr>
            <w:tcW w:w="1814" w:type="pct"/>
            <w:vAlign w:val="center"/>
          </w:tcPr>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绿色家居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422" w:type="pct"/>
            <w:vAlign w:val="center"/>
          </w:tcPr>
          <w:p>
            <w:pPr>
              <w:spacing w:line="240" w:lineRule="exact"/>
              <w:jc w:val="center"/>
              <w:rPr>
                <w:rFonts w:hint="eastAsia" w:ascii="Times New Roman" w:hAnsi="Times New Roman" w:eastAsia="方正仿宋_GBK" w:cs="Times New Roman"/>
                <w:b w:val="0"/>
                <w:bCs w:val="0"/>
                <w:szCs w:val="21"/>
                <w:lang w:eastAsia="zh-CN"/>
              </w:rPr>
            </w:pPr>
            <w:r>
              <w:rPr>
                <w:rFonts w:hint="eastAsia" w:ascii="Times New Roman" w:hAnsi="Times New Roman" w:eastAsia="方正仿宋_GBK" w:cs="Times New Roman"/>
                <w:b w:val="0"/>
                <w:bCs w:val="0"/>
                <w:szCs w:val="21"/>
                <w:lang w:val="en-US" w:eastAsia="zh-CN"/>
              </w:rPr>
              <w:t>3</w:t>
            </w:r>
          </w:p>
        </w:tc>
        <w:tc>
          <w:tcPr>
            <w:tcW w:w="1082"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泗阳县</w:t>
            </w:r>
          </w:p>
        </w:tc>
        <w:tc>
          <w:tcPr>
            <w:tcW w:w="168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泗阳经济开发区</w:t>
            </w:r>
          </w:p>
        </w:tc>
        <w:tc>
          <w:tcPr>
            <w:tcW w:w="1814" w:type="pct"/>
            <w:vAlign w:val="center"/>
          </w:tcPr>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高端纺织</w:t>
            </w:r>
          </w:p>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绿色家居</w:t>
            </w:r>
          </w:p>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422" w:type="pct"/>
            <w:vAlign w:val="center"/>
          </w:tcPr>
          <w:p>
            <w:pPr>
              <w:spacing w:line="240" w:lineRule="exact"/>
              <w:jc w:val="center"/>
              <w:rPr>
                <w:rFonts w:hint="default" w:ascii="Times New Roman" w:hAnsi="Times New Roman" w:eastAsia="方正仿宋_GBK" w:cs="Times New Roman"/>
                <w:b w:val="0"/>
                <w:bCs w:val="0"/>
                <w:szCs w:val="21"/>
                <w:lang w:val="en-US" w:eastAsia="zh-CN"/>
              </w:rPr>
            </w:pPr>
            <w:r>
              <w:rPr>
                <w:rFonts w:hint="eastAsia" w:ascii="Times New Roman" w:hAnsi="Times New Roman" w:eastAsia="方正仿宋_GBK" w:cs="Times New Roman"/>
                <w:b w:val="0"/>
                <w:bCs w:val="0"/>
                <w:szCs w:val="21"/>
                <w:lang w:val="en-US" w:eastAsia="zh-CN"/>
              </w:rPr>
              <w:t>4</w:t>
            </w:r>
          </w:p>
        </w:tc>
        <w:tc>
          <w:tcPr>
            <w:tcW w:w="1082"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168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泗阳高新技术产业开发区</w:t>
            </w:r>
          </w:p>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w:t>
            </w:r>
            <w:r>
              <w:rPr>
                <w:rFonts w:hint="default" w:ascii="Times New Roman" w:hAnsi="Times New Roman" w:eastAsia="方正仿宋_GBK" w:cs="Times New Roman"/>
                <w:b w:val="0"/>
                <w:bCs w:val="0"/>
                <w:color w:val="000000"/>
                <w:spacing w:val="-16"/>
                <w:szCs w:val="21"/>
                <w14:ligatures w14:val="none"/>
              </w:rPr>
              <w:t>含吴江泗阳工业园</w:t>
            </w:r>
            <w:r>
              <w:rPr>
                <w:rFonts w:hint="default" w:ascii="Times New Roman" w:hAnsi="Times New Roman" w:eastAsia="方正仿宋_GBK" w:cs="Times New Roman"/>
                <w:b w:val="0"/>
                <w:bCs w:val="0"/>
                <w:szCs w:val="21"/>
              </w:rPr>
              <w:t>）</w:t>
            </w:r>
          </w:p>
        </w:tc>
        <w:tc>
          <w:tcPr>
            <w:tcW w:w="1814" w:type="pct"/>
            <w:vAlign w:val="center"/>
          </w:tcPr>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lang w:eastAsia="zh-CN"/>
                <w14:ligatures w14:val="none"/>
              </w:rPr>
              <w:t>高端纺织</w:t>
            </w:r>
          </w:p>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绿色家居</w:t>
            </w:r>
          </w:p>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22" w:type="pct"/>
            <w:vAlign w:val="center"/>
          </w:tcPr>
          <w:p>
            <w:pPr>
              <w:spacing w:line="240" w:lineRule="exact"/>
              <w:jc w:val="center"/>
              <w:rPr>
                <w:rFonts w:hint="default" w:ascii="Times New Roman" w:hAnsi="Times New Roman" w:eastAsia="方正仿宋_GBK" w:cs="Times New Roman"/>
                <w:b w:val="0"/>
                <w:bCs w:val="0"/>
                <w:szCs w:val="21"/>
                <w:lang w:val="en-US" w:eastAsia="zh-CN"/>
              </w:rPr>
            </w:pPr>
            <w:r>
              <w:rPr>
                <w:rFonts w:hint="eastAsia" w:ascii="Times New Roman" w:hAnsi="Times New Roman" w:eastAsia="方正仿宋_GBK" w:cs="Times New Roman"/>
                <w:b w:val="0"/>
                <w:bCs w:val="0"/>
                <w:szCs w:val="21"/>
                <w:lang w:val="en-US" w:eastAsia="zh-CN"/>
              </w:rPr>
              <w:t>5</w:t>
            </w:r>
          </w:p>
        </w:tc>
        <w:tc>
          <w:tcPr>
            <w:tcW w:w="1082"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泗洪县</w:t>
            </w:r>
          </w:p>
        </w:tc>
        <w:tc>
          <w:tcPr>
            <w:tcW w:w="168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朱湖临港产业园</w:t>
            </w:r>
          </w:p>
        </w:tc>
        <w:tc>
          <w:tcPr>
            <w:tcW w:w="1814" w:type="pct"/>
            <w:vAlign w:val="center"/>
          </w:tcPr>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绿色建材</w:t>
            </w:r>
          </w:p>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22" w:type="pct"/>
            <w:vAlign w:val="center"/>
          </w:tcPr>
          <w:p>
            <w:pPr>
              <w:spacing w:line="240" w:lineRule="exact"/>
              <w:jc w:val="center"/>
              <w:rPr>
                <w:rFonts w:hint="default" w:ascii="Times New Roman" w:hAnsi="Times New Roman" w:eastAsia="方正仿宋_GBK" w:cs="Times New Roman"/>
                <w:b w:val="0"/>
                <w:bCs w:val="0"/>
                <w:szCs w:val="21"/>
                <w:lang w:val="en-US" w:eastAsia="zh-CN"/>
              </w:rPr>
            </w:pPr>
            <w:bookmarkStart w:id="265" w:name="_Toc1394"/>
            <w:r>
              <w:rPr>
                <w:rFonts w:hint="eastAsia" w:ascii="Times New Roman" w:hAnsi="Times New Roman" w:eastAsia="方正仿宋_GBK" w:cs="Times New Roman"/>
                <w:b w:val="0"/>
                <w:bCs w:val="0"/>
                <w:szCs w:val="21"/>
                <w:lang w:val="en-US" w:eastAsia="zh-CN"/>
              </w:rPr>
              <w:t>6</w:t>
            </w:r>
          </w:p>
        </w:tc>
        <w:tc>
          <w:tcPr>
            <w:tcW w:w="1082"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宿豫区</w:t>
            </w:r>
          </w:p>
        </w:tc>
        <w:tc>
          <w:tcPr>
            <w:tcW w:w="168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宿迁高新技术产业开发区</w:t>
            </w:r>
          </w:p>
        </w:tc>
        <w:tc>
          <w:tcPr>
            <w:tcW w:w="1814" w:type="pct"/>
            <w:vAlign w:val="center"/>
          </w:tcPr>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新能源</w:t>
            </w:r>
          </w:p>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新材料</w:t>
            </w:r>
          </w:p>
          <w:p>
            <w:pPr>
              <w:pStyle w:val="39"/>
              <w:widowControl/>
              <w:numPr>
                <w:ilvl w:val="0"/>
                <w:numId w:val="5"/>
              </w:numPr>
              <w:spacing w:line="240" w:lineRule="exact"/>
              <w:ind w:left="181" w:leftChars="0"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22" w:type="pct"/>
            <w:vAlign w:val="center"/>
          </w:tcPr>
          <w:p>
            <w:pPr>
              <w:spacing w:line="240" w:lineRule="exact"/>
              <w:jc w:val="center"/>
              <w:rPr>
                <w:rFonts w:hint="default" w:ascii="Times New Roman" w:hAnsi="Times New Roman" w:eastAsia="方正仿宋_GBK" w:cs="Times New Roman"/>
                <w:b w:val="0"/>
                <w:bCs w:val="0"/>
                <w:szCs w:val="21"/>
                <w:lang w:val="en-US" w:eastAsia="zh-CN"/>
              </w:rPr>
            </w:pPr>
            <w:r>
              <w:rPr>
                <w:rFonts w:hint="eastAsia" w:ascii="Times New Roman" w:hAnsi="Times New Roman" w:eastAsia="方正仿宋_GBK" w:cs="Times New Roman"/>
                <w:b w:val="0"/>
                <w:bCs w:val="0"/>
                <w:szCs w:val="21"/>
                <w:lang w:val="en-US" w:eastAsia="zh-CN"/>
              </w:rPr>
              <w:t>7</w:t>
            </w:r>
          </w:p>
        </w:tc>
        <w:tc>
          <w:tcPr>
            <w:tcW w:w="1082"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168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陆集临港产业园</w:t>
            </w:r>
          </w:p>
        </w:tc>
        <w:tc>
          <w:tcPr>
            <w:tcW w:w="1814" w:type="pct"/>
            <w:vAlign w:val="center"/>
          </w:tcPr>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新材料</w:t>
            </w:r>
          </w:p>
          <w:p>
            <w:pPr>
              <w:pStyle w:val="39"/>
              <w:widowControl/>
              <w:numPr>
                <w:ilvl w:val="0"/>
                <w:numId w:val="5"/>
              </w:numPr>
              <w:spacing w:line="240" w:lineRule="exact"/>
              <w:ind w:left="181" w:leftChars="0"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22" w:type="pct"/>
            <w:vAlign w:val="center"/>
          </w:tcPr>
          <w:p>
            <w:pPr>
              <w:spacing w:line="240" w:lineRule="exact"/>
              <w:jc w:val="center"/>
              <w:rPr>
                <w:rFonts w:hint="default" w:ascii="Times New Roman" w:hAnsi="Times New Roman" w:eastAsia="方正仿宋_GBK" w:cs="Times New Roman"/>
                <w:b w:val="0"/>
                <w:bCs w:val="0"/>
                <w:szCs w:val="21"/>
                <w:lang w:val="en-US" w:eastAsia="zh-CN"/>
              </w:rPr>
            </w:pPr>
            <w:r>
              <w:rPr>
                <w:rFonts w:hint="eastAsia" w:ascii="Times New Roman" w:hAnsi="Times New Roman" w:eastAsia="方正仿宋_GBK" w:cs="Times New Roman"/>
                <w:b w:val="0"/>
                <w:bCs w:val="0"/>
                <w:szCs w:val="21"/>
                <w:lang w:val="en-US" w:eastAsia="zh-CN"/>
              </w:rPr>
              <w:t>8</w:t>
            </w:r>
          </w:p>
        </w:tc>
        <w:tc>
          <w:tcPr>
            <w:tcW w:w="1082"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168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来龙工业园</w:t>
            </w:r>
          </w:p>
        </w:tc>
        <w:tc>
          <w:tcPr>
            <w:tcW w:w="1814" w:type="pct"/>
            <w:vAlign w:val="center"/>
          </w:tcPr>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新材料</w:t>
            </w:r>
          </w:p>
          <w:p>
            <w:pPr>
              <w:pStyle w:val="39"/>
              <w:widowControl/>
              <w:numPr>
                <w:ilvl w:val="0"/>
                <w:numId w:val="5"/>
              </w:numPr>
              <w:spacing w:line="240" w:lineRule="exact"/>
              <w:ind w:left="181" w:leftChars="0"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22" w:type="pct"/>
            <w:vAlign w:val="center"/>
          </w:tcPr>
          <w:p>
            <w:pPr>
              <w:spacing w:line="240" w:lineRule="exact"/>
              <w:jc w:val="center"/>
              <w:rPr>
                <w:rFonts w:hint="default" w:ascii="Times New Roman" w:hAnsi="Times New Roman" w:eastAsia="方正仿宋_GBK" w:cs="Times New Roman"/>
                <w:b w:val="0"/>
                <w:bCs w:val="0"/>
                <w:szCs w:val="21"/>
                <w:lang w:val="en-US" w:eastAsia="zh-CN"/>
              </w:rPr>
            </w:pPr>
            <w:r>
              <w:rPr>
                <w:rFonts w:hint="eastAsia" w:ascii="Times New Roman" w:hAnsi="Times New Roman" w:eastAsia="方正仿宋_GBK" w:cs="Times New Roman"/>
                <w:b w:val="0"/>
                <w:bCs w:val="0"/>
                <w:szCs w:val="21"/>
                <w:lang w:val="en-US" w:eastAsia="zh-CN"/>
              </w:rPr>
              <w:t>9</w:t>
            </w:r>
          </w:p>
        </w:tc>
        <w:tc>
          <w:tcPr>
            <w:tcW w:w="1082"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168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生态化工科技产业园</w:t>
            </w:r>
          </w:p>
        </w:tc>
        <w:tc>
          <w:tcPr>
            <w:tcW w:w="1814" w:type="pct"/>
            <w:vAlign w:val="center"/>
          </w:tcPr>
          <w:p>
            <w:pPr>
              <w:pStyle w:val="39"/>
              <w:widowControl/>
              <w:numPr>
                <w:ilvl w:val="0"/>
                <w:numId w:val="5"/>
              </w:numPr>
              <w:spacing w:line="240" w:lineRule="exact"/>
              <w:ind w:left="181" w:leftChars="0"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22" w:type="pct"/>
            <w:vAlign w:val="center"/>
          </w:tcPr>
          <w:p>
            <w:pPr>
              <w:spacing w:line="240" w:lineRule="exact"/>
              <w:jc w:val="center"/>
              <w:rPr>
                <w:rFonts w:hint="default" w:ascii="Times New Roman" w:hAnsi="Times New Roman" w:eastAsia="方正仿宋_GBK" w:cs="Times New Roman"/>
                <w:b w:val="0"/>
                <w:bCs w:val="0"/>
                <w:szCs w:val="21"/>
                <w:lang w:val="en-US" w:eastAsia="zh-CN"/>
              </w:rPr>
            </w:pPr>
            <w:r>
              <w:rPr>
                <w:rFonts w:hint="eastAsia" w:ascii="Times New Roman" w:hAnsi="Times New Roman" w:eastAsia="方正仿宋_GBK" w:cs="Times New Roman"/>
                <w:b w:val="0"/>
                <w:bCs w:val="0"/>
                <w:szCs w:val="21"/>
                <w:lang w:val="en-US" w:eastAsia="zh-CN"/>
              </w:rPr>
              <w:t>10</w:t>
            </w:r>
          </w:p>
        </w:tc>
        <w:tc>
          <w:tcPr>
            <w:tcW w:w="1082"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宿城区</w:t>
            </w:r>
          </w:p>
        </w:tc>
        <w:tc>
          <w:tcPr>
            <w:tcW w:w="168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运河宿迁港产业园</w:t>
            </w:r>
          </w:p>
        </w:tc>
        <w:tc>
          <w:tcPr>
            <w:tcW w:w="1814" w:type="pct"/>
            <w:vAlign w:val="center"/>
          </w:tcPr>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高端纺织</w:t>
            </w:r>
          </w:p>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绿色建材</w:t>
            </w:r>
          </w:p>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新能源</w:t>
            </w:r>
          </w:p>
          <w:p>
            <w:pPr>
              <w:pStyle w:val="39"/>
              <w:widowControl/>
              <w:numPr>
                <w:ilvl w:val="0"/>
                <w:numId w:val="5"/>
              </w:numPr>
              <w:spacing w:line="240" w:lineRule="exact"/>
              <w:ind w:left="181" w:leftChars="0"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422" w:type="pct"/>
            <w:vAlign w:val="center"/>
          </w:tcPr>
          <w:p>
            <w:pPr>
              <w:spacing w:line="240" w:lineRule="exact"/>
              <w:jc w:val="center"/>
              <w:rPr>
                <w:rFonts w:hint="default" w:ascii="Times New Roman" w:hAnsi="Times New Roman" w:eastAsia="方正仿宋_GBK" w:cs="Times New Roman"/>
                <w:b w:val="0"/>
                <w:bCs w:val="0"/>
                <w:szCs w:val="21"/>
                <w:lang w:val="en-US" w:eastAsia="zh-CN"/>
              </w:rPr>
            </w:pPr>
            <w:r>
              <w:rPr>
                <w:rFonts w:hint="eastAsia" w:ascii="Times New Roman" w:hAnsi="Times New Roman" w:eastAsia="方正仿宋_GBK" w:cs="Times New Roman"/>
                <w:b w:val="0"/>
                <w:bCs w:val="0"/>
                <w:szCs w:val="21"/>
                <w:lang w:val="en-US" w:eastAsia="zh-CN"/>
              </w:rPr>
              <w:t>11</w:t>
            </w:r>
          </w:p>
        </w:tc>
        <w:tc>
          <w:tcPr>
            <w:tcW w:w="1082" w:type="pct"/>
            <w:vAlign w:val="center"/>
          </w:tcPr>
          <w:p>
            <w:pPr>
              <w:spacing w:line="240" w:lineRule="exact"/>
              <w:jc w:val="center"/>
              <w:rPr>
                <w:rFonts w:hint="default" w:ascii="Times New Roman" w:hAnsi="Times New Roman" w:eastAsia="方正仿宋_GBK" w:cs="Times New Roman"/>
                <w:b w:val="0"/>
                <w:bCs w:val="0"/>
                <w:szCs w:val="21"/>
              </w:rPr>
            </w:pPr>
            <w:r>
              <w:rPr>
                <w:rFonts w:hint="eastAsia" w:ascii="Times New Roman" w:hAnsi="Times New Roman" w:eastAsia="方正仿宋_GBK" w:cs="Times New Roman"/>
                <w:b w:val="0"/>
                <w:bCs w:val="0"/>
                <w:szCs w:val="21"/>
                <w:lang w:eastAsia="zh-CN"/>
              </w:rPr>
              <w:t>市洋河新区</w:t>
            </w:r>
          </w:p>
        </w:tc>
        <w:tc>
          <w:tcPr>
            <w:tcW w:w="168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洋河临港产业园</w:t>
            </w:r>
          </w:p>
        </w:tc>
        <w:tc>
          <w:tcPr>
            <w:tcW w:w="1814" w:type="pct"/>
            <w:vAlign w:val="center"/>
          </w:tcPr>
          <w:p>
            <w:pPr>
              <w:pStyle w:val="39"/>
              <w:widowControl/>
              <w:numPr>
                <w:ilvl w:val="0"/>
                <w:numId w:val="5"/>
              </w:numPr>
              <w:spacing w:line="240" w:lineRule="exact"/>
              <w:ind w:left="181"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绿色食品</w:t>
            </w:r>
          </w:p>
          <w:p>
            <w:pPr>
              <w:pStyle w:val="39"/>
              <w:widowControl/>
              <w:numPr>
                <w:ilvl w:val="0"/>
                <w:numId w:val="5"/>
              </w:numPr>
              <w:spacing w:line="240" w:lineRule="exact"/>
              <w:ind w:left="181" w:leftChars="0" w:hanging="181" w:firstLineChars="0"/>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lang w:eastAsia="zh-CN"/>
                <w14:ligatures w14:val="none"/>
              </w:rPr>
              <w:t>装备制造</w:t>
            </w:r>
          </w:p>
        </w:tc>
      </w:tr>
      <w:bookmarkEnd w:id="265"/>
    </w:tbl>
    <w:p>
      <w:pPr>
        <w:keepNext w:val="0"/>
        <w:keepLines w:val="0"/>
        <w:pageBreakBefore w:val="0"/>
        <w:widowControl w:val="0"/>
        <w:numPr>
          <w:ilvl w:val="0"/>
          <w:numId w:val="6"/>
        </w:numPr>
        <w:kinsoku/>
        <w:wordWrap/>
        <w:overflowPunct w:val="0"/>
        <w:topLinePunct w:val="0"/>
        <w:autoSpaceDE/>
        <w:autoSpaceDN/>
        <w:bidi w:val="0"/>
        <w:adjustRightInd/>
        <w:snapToGrid/>
        <w:spacing w:line="530" w:lineRule="exact"/>
        <w:ind w:left="0" w:leftChars="0" w:firstLine="640" w:firstLineChars="200"/>
        <w:textAlignment w:val="auto"/>
        <w:outlineLvl w:val="2"/>
        <w:rPr>
          <w:rFonts w:hint="default" w:ascii="Times New Roman" w:hAnsi="Times New Roman" w:eastAsia="方正仿宋_GBK" w:cs="Times New Roman"/>
          <w:b w:val="0"/>
          <w:bCs w:val="0"/>
          <w:sz w:val="32"/>
          <w:szCs w:val="36"/>
        </w:rPr>
      </w:pPr>
      <w:bookmarkStart w:id="266" w:name="_Toc2409"/>
      <w:bookmarkStart w:id="267" w:name="_Toc150419795"/>
      <w:r>
        <w:rPr>
          <w:rFonts w:hint="default" w:ascii="Times New Roman" w:hAnsi="Times New Roman" w:eastAsia="方正仿宋_GBK" w:cs="Times New Roman"/>
          <w:b w:val="0"/>
          <w:bCs w:val="0"/>
          <w:sz w:val="32"/>
          <w:szCs w:val="36"/>
        </w:rPr>
        <w:t>沭阳临港产业园</w:t>
      </w:r>
      <w:bookmarkEnd w:id="266"/>
      <w:r>
        <w:rPr>
          <w:rFonts w:hint="default" w:ascii="Times New Roman" w:hAnsi="Times New Roman" w:eastAsia="方正仿宋_GBK" w:cs="Times New Roman"/>
          <w:b w:val="0"/>
          <w:bCs w:val="0"/>
          <w:sz w:val="32"/>
          <w:szCs w:val="36"/>
          <w:lang w:eastAsia="zh-CN"/>
        </w:rPr>
        <w:t>。</w:t>
      </w:r>
      <w:r>
        <w:rPr>
          <w:rFonts w:hint="default" w:ascii="Times New Roman" w:hAnsi="Times New Roman" w:eastAsia="方正仿宋_GBK" w:cs="Times New Roman"/>
          <w:b w:val="0"/>
          <w:bCs w:val="0"/>
          <w:sz w:val="32"/>
          <w:szCs w:val="36"/>
        </w:rPr>
        <w:t>园区位于宿迁与连云港交界地区，园区总用地面积3036.5公顷，规划建设用地面积约2058.2公顷，集疏运条件良好</w:t>
      </w:r>
      <w:r>
        <w:rPr>
          <w:rFonts w:hint="default" w:ascii="Times New Roman" w:hAnsi="Times New Roman" w:eastAsia="方正仿宋_GBK" w:cs="Times New Roman"/>
          <w:b w:val="0"/>
          <w:bCs w:val="0"/>
          <w:sz w:val="32"/>
          <w:szCs w:val="32"/>
        </w:rPr>
        <w:t>，基础设施健全，现已初步建成了高端纺织、新型建材等产业。下一步园区将重点发展“443”临港产业新体系中的高端纺织产业</w:t>
      </w:r>
      <w:r>
        <w:rPr>
          <w:rFonts w:hint="default" w:ascii="Times New Roman" w:hAnsi="Times New Roman" w:eastAsia="方正仿宋_GBK" w:cs="Times New Roman"/>
          <w:b w:val="0"/>
          <w:bCs w:val="0"/>
          <w:sz w:val="32"/>
          <w:szCs w:val="36"/>
        </w:rPr>
        <w:t>。</w:t>
      </w:r>
    </w:p>
    <w:p>
      <w:pPr>
        <w:pStyle w:val="11"/>
        <w:keepNext w:val="0"/>
        <w:keepLines w:val="0"/>
        <w:pageBreakBefore w:val="0"/>
        <w:widowControl w:val="0"/>
        <w:numPr>
          <w:ilvl w:val="0"/>
          <w:numId w:val="6"/>
        </w:numPr>
        <w:kinsoku/>
        <w:wordWrap/>
        <w:overflowPunct w:val="0"/>
        <w:topLinePunct w:val="0"/>
        <w:autoSpaceDE/>
        <w:autoSpaceDN/>
        <w:bidi w:val="0"/>
        <w:adjustRightInd/>
        <w:snapToGrid/>
        <w:spacing w:after="0" w:line="530" w:lineRule="exact"/>
        <w:ind w:left="0" w:leftChars="0" w:firstLine="640" w:firstLineChars="200"/>
        <w:textAlignment w:val="auto"/>
        <w:outlineLvl w:val="2"/>
        <w:rPr>
          <w:rFonts w:hint="default" w:ascii="Times New Roman" w:hAnsi="Times New Roman" w:eastAsia="方正仿宋_GBK" w:cs="Times New Roman"/>
          <w:b w:val="0"/>
          <w:bCs w:val="0"/>
          <w:kern w:val="2"/>
          <w:sz w:val="32"/>
          <w:szCs w:val="32"/>
          <w:lang w:val="en-US" w:eastAsia="zh-CN" w:bidi="ar-SA"/>
          <w14:ligatures w14:val="standardContextual"/>
        </w:rPr>
      </w:pPr>
      <w:bookmarkStart w:id="268" w:name="_Toc23549"/>
      <w:r>
        <w:rPr>
          <w:rFonts w:hint="default" w:ascii="Times New Roman" w:hAnsi="Times New Roman" w:eastAsia="方正仿宋_GBK" w:cs="Times New Roman"/>
          <w:b w:val="0"/>
          <w:bCs w:val="0"/>
        </w:rPr>
        <w:t>宿迁生态板材产业园</w:t>
      </w:r>
      <w:bookmarkEnd w:id="268"/>
      <w:r>
        <w:rPr>
          <w:rFonts w:hint="default" w:ascii="Times New Roman" w:hAnsi="Times New Roman" w:eastAsia="方正仿宋_GBK" w:cs="Times New Roman"/>
          <w:b w:val="0"/>
          <w:bCs w:val="0"/>
          <w:lang w:eastAsia="zh-CN"/>
        </w:rPr>
        <w:t>。</w:t>
      </w:r>
      <w:r>
        <w:rPr>
          <w:rFonts w:hint="default" w:ascii="Times New Roman" w:hAnsi="Times New Roman" w:eastAsia="方正仿宋_GBK" w:cs="Times New Roman"/>
          <w:b w:val="0"/>
          <w:bCs w:val="0"/>
          <w:sz w:val="30"/>
          <w:szCs w:val="30"/>
        </w:rPr>
        <w:t>园区</w:t>
      </w:r>
      <w:r>
        <w:rPr>
          <w:rFonts w:hint="default" w:ascii="Times New Roman" w:hAnsi="Times New Roman" w:eastAsia="方正仿宋_GBK" w:cs="Times New Roman"/>
          <w:b w:val="0"/>
          <w:bCs w:val="0"/>
        </w:rPr>
        <w:t>位于</w:t>
      </w:r>
      <w:r>
        <w:rPr>
          <w:rFonts w:hint="default" w:ascii="Times New Roman" w:hAnsi="Times New Roman" w:eastAsia="方正仿宋_GBK" w:cs="Times New Roman"/>
          <w:b w:val="0"/>
          <w:bCs w:val="0"/>
          <w:lang w:eastAsia="zh-CN"/>
        </w:rPr>
        <w:t>沭阳县</w:t>
      </w:r>
      <w:r>
        <w:rPr>
          <w:rFonts w:hint="default" w:ascii="Times New Roman" w:hAnsi="Times New Roman" w:eastAsia="方正仿宋_GBK" w:cs="Times New Roman"/>
          <w:b w:val="0"/>
          <w:bCs w:val="0"/>
        </w:rPr>
        <w:t>贤官镇镇区东侧，距京沪高速沭阳（北）6公里，位置优越，路网通达。园区紧抓宿迁“一区多园”建设机遇，采用“园中园”模式，高标准建设水、电、气等基础配套设施，全力打造产业高度集聚的乡村振兴产业园。下一步园区将重点发展“443”临港产业新体系</w:t>
      </w:r>
      <w:r>
        <w:rPr>
          <w:rFonts w:hint="default" w:ascii="Times New Roman" w:hAnsi="Times New Roman" w:eastAsia="方正仿宋_GBK" w:cs="Times New Roman"/>
          <w:b w:val="0"/>
          <w:bCs w:val="0"/>
          <w:kern w:val="2"/>
          <w:sz w:val="32"/>
          <w:szCs w:val="32"/>
          <w:lang w:val="en-US" w:eastAsia="zh-CN" w:bidi="ar-SA"/>
          <w14:ligatures w14:val="standardContextual"/>
        </w:rPr>
        <w:t>中的绿色家居产业。</w:t>
      </w:r>
    </w:p>
    <w:p>
      <w:pPr>
        <w:keepNext w:val="0"/>
        <w:keepLines w:val="0"/>
        <w:pageBreakBefore w:val="0"/>
        <w:widowControl w:val="0"/>
        <w:numPr>
          <w:ilvl w:val="0"/>
          <w:numId w:val="6"/>
        </w:numPr>
        <w:kinsoku/>
        <w:wordWrap/>
        <w:overflowPunct w:val="0"/>
        <w:topLinePunct w:val="0"/>
        <w:autoSpaceDE/>
        <w:autoSpaceDN/>
        <w:bidi w:val="0"/>
        <w:adjustRightInd/>
        <w:snapToGrid/>
        <w:spacing w:line="530" w:lineRule="exact"/>
        <w:ind w:left="0" w:leftChars="0" w:firstLine="640" w:firstLineChars="200"/>
        <w:textAlignment w:val="auto"/>
        <w:outlineLvl w:val="2"/>
        <w:rPr>
          <w:rFonts w:hint="default" w:ascii="Times New Roman" w:hAnsi="Times New Roman" w:eastAsia="方正仿宋_GBK" w:cs="Times New Roman"/>
          <w:b w:val="0"/>
          <w:bCs w:val="0"/>
          <w:sz w:val="32"/>
          <w:szCs w:val="36"/>
        </w:rPr>
      </w:pPr>
      <w:bookmarkStart w:id="269" w:name="_Toc3851"/>
      <w:r>
        <w:rPr>
          <w:rFonts w:hint="default" w:ascii="Times New Roman" w:hAnsi="Times New Roman" w:eastAsia="方正仿宋_GBK" w:cs="Times New Roman"/>
          <w:b w:val="0"/>
          <w:bCs w:val="0"/>
          <w:sz w:val="32"/>
          <w:szCs w:val="36"/>
        </w:rPr>
        <w:t>泗阳经济开发区</w:t>
      </w:r>
      <w:bookmarkEnd w:id="269"/>
      <w:r>
        <w:rPr>
          <w:rFonts w:hint="default" w:ascii="Times New Roman" w:hAnsi="Times New Roman" w:eastAsia="方正仿宋_GBK" w:cs="Times New Roman"/>
          <w:b w:val="0"/>
          <w:bCs w:val="0"/>
          <w:sz w:val="32"/>
          <w:szCs w:val="36"/>
          <w:lang w:eastAsia="zh-CN"/>
        </w:rPr>
        <w:t>。</w:t>
      </w:r>
      <w:r>
        <w:rPr>
          <w:rFonts w:hint="default" w:ascii="Times New Roman" w:hAnsi="Times New Roman" w:eastAsia="方正仿宋_GBK" w:cs="Times New Roman"/>
          <w:b w:val="0"/>
          <w:bCs w:val="0"/>
          <w:sz w:val="32"/>
          <w:szCs w:val="36"/>
        </w:rPr>
        <w:t>园区位于泗阳县城东部，规划面积71平方公里，建成区40平方公里，先后获批国家知识产权试点园区、国家大中小企业融通型双创特色载体等多项国家级荣誉，现已形成高端纺织、家居制造、食品饮料、电子信息、医疗健康等特色优势产业。</w:t>
      </w:r>
      <w:r>
        <w:rPr>
          <w:rFonts w:hint="default" w:ascii="Times New Roman" w:hAnsi="Times New Roman" w:eastAsia="方正仿宋_GBK" w:cs="Times New Roman"/>
          <w:b w:val="0"/>
          <w:bCs w:val="0"/>
          <w:sz w:val="32"/>
          <w:szCs w:val="32"/>
        </w:rPr>
        <w:t>下一步园区将重点发展“443”临港产业新体系中的高端纺织、绿色家居、绿色循环等</w:t>
      </w:r>
      <w:r>
        <w:rPr>
          <w:rFonts w:hint="default" w:ascii="Times New Roman" w:hAnsi="Times New Roman" w:eastAsia="方正仿宋_GBK" w:cs="Times New Roman"/>
          <w:b w:val="0"/>
          <w:bCs w:val="0"/>
          <w:sz w:val="32"/>
          <w:szCs w:val="36"/>
        </w:rPr>
        <w:t>产业。</w:t>
      </w:r>
    </w:p>
    <w:p>
      <w:pPr>
        <w:keepNext w:val="0"/>
        <w:keepLines w:val="0"/>
        <w:pageBreakBefore w:val="0"/>
        <w:widowControl w:val="0"/>
        <w:numPr>
          <w:ilvl w:val="0"/>
          <w:numId w:val="6"/>
        </w:numPr>
        <w:kinsoku/>
        <w:wordWrap/>
        <w:overflowPunct w:val="0"/>
        <w:topLinePunct w:val="0"/>
        <w:autoSpaceDE/>
        <w:autoSpaceDN/>
        <w:bidi w:val="0"/>
        <w:adjustRightInd/>
        <w:snapToGrid/>
        <w:spacing w:line="530" w:lineRule="exact"/>
        <w:ind w:left="0" w:leftChars="0" w:firstLine="640" w:firstLineChars="200"/>
        <w:textAlignment w:val="auto"/>
        <w:outlineLvl w:val="2"/>
        <w:rPr>
          <w:rFonts w:hint="default" w:ascii="Times New Roman" w:hAnsi="Times New Roman" w:eastAsia="方正仿宋_GBK" w:cs="Times New Roman"/>
          <w:b w:val="0"/>
          <w:bCs w:val="0"/>
          <w:sz w:val="32"/>
          <w:szCs w:val="32"/>
        </w:rPr>
      </w:pPr>
      <w:bookmarkStart w:id="270" w:name="_Toc11570"/>
      <w:r>
        <w:rPr>
          <w:rFonts w:hint="default" w:ascii="Times New Roman" w:hAnsi="Times New Roman" w:eastAsia="方正仿宋_GBK" w:cs="Times New Roman"/>
          <w:b w:val="0"/>
          <w:bCs w:val="0"/>
          <w:sz w:val="32"/>
          <w:szCs w:val="36"/>
        </w:rPr>
        <w:t>泗阳高新技术产业开发区（含吴江泗阳工业园）</w:t>
      </w:r>
      <w:bookmarkEnd w:id="270"/>
      <w:r>
        <w:rPr>
          <w:rFonts w:hint="default" w:ascii="Times New Roman" w:hAnsi="Times New Roman" w:eastAsia="方正仿宋_GBK" w:cs="Times New Roman"/>
          <w:b w:val="0"/>
          <w:bCs w:val="0"/>
          <w:sz w:val="32"/>
          <w:szCs w:val="36"/>
          <w:lang w:eastAsia="zh-CN"/>
        </w:rPr>
        <w:t>。</w:t>
      </w:r>
      <w:r>
        <w:rPr>
          <w:rFonts w:hint="default" w:ascii="Times New Roman" w:hAnsi="Times New Roman" w:eastAsia="方正仿宋_GBK" w:cs="Times New Roman"/>
          <w:b w:val="0"/>
          <w:bCs w:val="0"/>
          <w:sz w:val="32"/>
          <w:szCs w:val="36"/>
        </w:rPr>
        <w:t>园区</w:t>
      </w:r>
      <w:r>
        <w:rPr>
          <w:rFonts w:hint="default" w:ascii="Times New Roman" w:hAnsi="Times New Roman" w:eastAsia="方正仿宋_GBK" w:cs="Times New Roman"/>
          <w:b w:val="0"/>
          <w:bCs w:val="0"/>
          <w:sz w:val="32"/>
          <w:szCs w:val="32"/>
        </w:rPr>
        <w:t>位于泗阳县城西部，规划总面积33.5平方公里。围绕打造长三角先进制造业基地，重点构建“一主三特”制造产业体系，新材料、装备制造等高新技术产业集群快速壮大，全力打造“产业特色鲜明、科技资源密集、配套设施完善、生态环境优美”的特色产业集聚区。</w:t>
      </w:r>
      <w:r>
        <w:rPr>
          <w:rFonts w:hint="default" w:ascii="Times New Roman" w:hAnsi="Times New Roman" w:eastAsia="方正仿宋_GBK" w:cs="Times New Roman"/>
          <w:b w:val="0"/>
          <w:bCs w:val="0"/>
          <w:sz w:val="32"/>
          <w:szCs w:val="36"/>
        </w:rPr>
        <w:t>下一步园区将重点发展“443”临港产业新体系中</w:t>
      </w:r>
      <w:r>
        <w:rPr>
          <w:rFonts w:hint="default" w:ascii="Times New Roman" w:hAnsi="Times New Roman" w:eastAsia="方正仿宋_GBK" w:cs="Times New Roman"/>
          <w:b w:val="0"/>
          <w:bCs w:val="0"/>
          <w:sz w:val="32"/>
          <w:szCs w:val="32"/>
        </w:rPr>
        <w:t>的高端纺织、绿色家居、绿色建材等产业。</w:t>
      </w:r>
    </w:p>
    <w:p>
      <w:pPr>
        <w:keepNext w:val="0"/>
        <w:keepLines w:val="0"/>
        <w:pageBreakBefore w:val="0"/>
        <w:widowControl w:val="0"/>
        <w:numPr>
          <w:ilvl w:val="0"/>
          <w:numId w:val="6"/>
        </w:numPr>
        <w:kinsoku/>
        <w:wordWrap/>
        <w:overflowPunct w:val="0"/>
        <w:topLinePunct w:val="0"/>
        <w:autoSpaceDE/>
        <w:autoSpaceDN/>
        <w:bidi w:val="0"/>
        <w:adjustRightInd/>
        <w:snapToGrid/>
        <w:spacing w:line="530" w:lineRule="exact"/>
        <w:ind w:left="0" w:leftChars="0" w:firstLine="640" w:firstLineChars="200"/>
        <w:textAlignment w:val="auto"/>
        <w:outlineLvl w:val="2"/>
        <w:rPr>
          <w:rFonts w:hint="default" w:ascii="Times New Roman" w:hAnsi="Times New Roman" w:eastAsia="方正仿宋_GBK" w:cs="Times New Roman"/>
          <w:b w:val="0"/>
          <w:bCs w:val="0"/>
          <w:sz w:val="32"/>
          <w:szCs w:val="32"/>
        </w:rPr>
      </w:pPr>
      <w:bookmarkStart w:id="271" w:name="_Toc17850"/>
      <w:r>
        <w:rPr>
          <w:rFonts w:hint="default" w:ascii="Times New Roman" w:hAnsi="Times New Roman" w:eastAsia="方正仿宋_GBK" w:cs="Times New Roman"/>
          <w:b w:val="0"/>
          <w:bCs w:val="0"/>
          <w:sz w:val="32"/>
          <w:szCs w:val="32"/>
        </w:rPr>
        <w:t>朱湖临港产业园</w:t>
      </w:r>
      <w:bookmarkEnd w:id="271"/>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园区位于泗洪县中北部，国道G343东侧、界重线北侧、徐洪河南侧，与泗洪县城、泗洪经开区等周边地区联系紧密，总规划面积约316公顷（约4740亩）。随着徐洪河航道提升至三级航道，通航能力大大提升，园区交通运输条件得到进一步优化完善。下一步园区将重点发展“443”临港产业新体系中的绿色建材、新材料等产业。</w:t>
      </w:r>
      <w:bookmarkEnd w:id="267"/>
    </w:p>
    <w:p>
      <w:pPr>
        <w:keepNext w:val="0"/>
        <w:keepLines w:val="0"/>
        <w:pageBreakBefore w:val="0"/>
        <w:widowControl w:val="0"/>
        <w:numPr>
          <w:ilvl w:val="0"/>
          <w:numId w:val="6"/>
        </w:numPr>
        <w:kinsoku/>
        <w:wordWrap/>
        <w:overflowPunct w:val="0"/>
        <w:topLinePunct w:val="0"/>
        <w:autoSpaceDE/>
        <w:autoSpaceDN/>
        <w:bidi w:val="0"/>
        <w:adjustRightInd/>
        <w:snapToGrid/>
        <w:spacing w:line="530" w:lineRule="exact"/>
        <w:ind w:left="0" w:leftChars="0" w:firstLine="640" w:firstLineChars="200"/>
        <w:textAlignment w:val="auto"/>
        <w:outlineLvl w:val="2"/>
        <w:rPr>
          <w:rFonts w:hint="default" w:ascii="Times New Roman" w:hAnsi="Times New Roman" w:eastAsia="方正仿宋_GBK" w:cs="Times New Roman"/>
          <w:b w:val="0"/>
          <w:bCs w:val="0"/>
          <w:sz w:val="32"/>
          <w:szCs w:val="36"/>
        </w:rPr>
      </w:pPr>
      <w:bookmarkStart w:id="272" w:name="_Toc10641"/>
      <w:r>
        <w:rPr>
          <w:rFonts w:hint="default" w:ascii="Times New Roman" w:hAnsi="Times New Roman" w:eastAsia="方正仿宋_GBK" w:cs="Times New Roman"/>
          <w:b w:val="0"/>
          <w:bCs w:val="0"/>
          <w:sz w:val="32"/>
          <w:szCs w:val="36"/>
        </w:rPr>
        <w:t>宿迁高新技术产业开发区</w:t>
      </w:r>
      <w:bookmarkEnd w:id="272"/>
      <w:r>
        <w:rPr>
          <w:rFonts w:hint="default" w:ascii="Times New Roman" w:hAnsi="Times New Roman" w:eastAsia="方正仿宋_GBK" w:cs="Times New Roman"/>
          <w:b w:val="0"/>
          <w:bCs w:val="0"/>
          <w:sz w:val="32"/>
          <w:szCs w:val="36"/>
          <w:lang w:eastAsia="zh-CN"/>
        </w:rPr>
        <w:t>。</w:t>
      </w:r>
      <w:r>
        <w:rPr>
          <w:rFonts w:hint="default" w:ascii="Times New Roman" w:hAnsi="Times New Roman" w:eastAsia="方正仿宋_GBK" w:cs="Times New Roman"/>
          <w:b w:val="0"/>
          <w:bCs w:val="0"/>
          <w:sz w:val="32"/>
          <w:szCs w:val="32"/>
        </w:rPr>
        <w:t>园区位于江苏宿迁中心城市东南部，规划面积50平方公里，目前初步形成以新材料产业为主，智能制造、食品饮料、电子信息、生物医药等产业为辅，构建“1+X”产业体系。下一步园区将重点发展</w:t>
      </w:r>
      <w:r>
        <w:rPr>
          <w:rFonts w:hint="default" w:ascii="Times New Roman" w:hAnsi="Times New Roman" w:eastAsia="方正仿宋_GBK" w:cs="Times New Roman"/>
          <w:b w:val="0"/>
          <w:bCs w:val="0"/>
          <w:sz w:val="32"/>
          <w:szCs w:val="36"/>
        </w:rPr>
        <w:t>“443”临港产业新体系中的</w:t>
      </w:r>
      <w:r>
        <w:rPr>
          <w:rFonts w:hint="default" w:ascii="Times New Roman" w:hAnsi="Times New Roman" w:eastAsia="方正仿宋_GBK" w:cs="Times New Roman"/>
          <w:b w:val="0"/>
          <w:bCs w:val="0"/>
          <w:sz w:val="32"/>
          <w:szCs w:val="32"/>
        </w:rPr>
        <w:t>新能源、新材料、装备制造产</w:t>
      </w:r>
      <w:r>
        <w:rPr>
          <w:rFonts w:hint="default" w:ascii="Times New Roman" w:hAnsi="Times New Roman" w:eastAsia="方正仿宋_GBK" w:cs="Times New Roman"/>
          <w:b w:val="0"/>
          <w:bCs w:val="0"/>
          <w:sz w:val="32"/>
          <w:szCs w:val="36"/>
        </w:rPr>
        <w:t>业。</w:t>
      </w:r>
    </w:p>
    <w:p>
      <w:pPr>
        <w:keepNext w:val="0"/>
        <w:keepLines w:val="0"/>
        <w:pageBreakBefore w:val="0"/>
        <w:widowControl w:val="0"/>
        <w:numPr>
          <w:ilvl w:val="0"/>
          <w:numId w:val="6"/>
        </w:numPr>
        <w:kinsoku/>
        <w:wordWrap/>
        <w:overflowPunct w:val="0"/>
        <w:topLinePunct w:val="0"/>
        <w:autoSpaceDE/>
        <w:autoSpaceDN/>
        <w:bidi w:val="0"/>
        <w:adjustRightInd/>
        <w:snapToGrid/>
        <w:spacing w:line="530" w:lineRule="exact"/>
        <w:ind w:left="0" w:leftChars="0" w:firstLine="640" w:firstLineChars="200"/>
        <w:textAlignment w:val="auto"/>
        <w:outlineLvl w:val="2"/>
        <w:rPr>
          <w:rFonts w:hint="default" w:ascii="Times New Roman" w:hAnsi="Times New Roman" w:eastAsia="方正仿宋_GBK" w:cs="Times New Roman"/>
          <w:b w:val="0"/>
          <w:bCs w:val="0"/>
          <w:sz w:val="32"/>
          <w:szCs w:val="36"/>
        </w:rPr>
      </w:pPr>
      <w:bookmarkStart w:id="273" w:name="_Toc1164"/>
      <w:r>
        <w:rPr>
          <w:rFonts w:hint="default" w:ascii="Times New Roman" w:hAnsi="Times New Roman" w:eastAsia="方正仿宋_GBK" w:cs="Times New Roman"/>
          <w:b w:val="0"/>
          <w:bCs w:val="0"/>
          <w:sz w:val="32"/>
          <w:szCs w:val="36"/>
        </w:rPr>
        <w:t>陆集临港产业园</w:t>
      </w:r>
      <w:bookmarkEnd w:id="273"/>
      <w:r>
        <w:rPr>
          <w:rFonts w:hint="default" w:ascii="Times New Roman" w:hAnsi="Times New Roman" w:eastAsia="方正仿宋_GBK" w:cs="Times New Roman"/>
          <w:b w:val="0"/>
          <w:bCs w:val="0"/>
          <w:sz w:val="32"/>
          <w:szCs w:val="36"/>
          <w:lang w:eastAsia="zh-CN"/>
        </w:rPr>
        <w:t>。</w:t>
      </w:r>
      <w:r>
        <w:rPr>
          <w:rFonts w:hint="default" w:ascii="Times New Roman" w:hAnsi="Times New Roman" w:eastAsia="方正仿宋_GBK" w:cs="Times New Roman"/>
          <w:b w:val="0"/>
          <w:bCs w:val="0"/>
          <w:sz w:val="32"/>
          <w:szCs w:val="36"/>
        </w:rPr>
        <w:t>园区位于宿豫区陆集街道，地处京杭运河与宿连航道交汇处，以1800米宿连航道陆集港岸线为轴心，规划核心区约18平方公里，现已初步形成装备制造、新材料以及现代物流等产业链条。下一步园区将重点发展“443”临港产业新体系中的</w:t>
      </w:r>
      <w:r>
        <w:rPr>
          <w:rFonts w:hint="default" w:ascii="Times New Roman" w:hAnsi="Times New Roman" w:eastAsia="方正仿宋_GBK" w:cs="Times New Roman"/>
          <w:b w:val="0"/>
          <w:bCs w:val="0"/>
          <w:sz w:val="32"/>
          <w:szCs w:val="32"/>
        </w:rPr>
        <w:t>新材料、装备制造等</w:t>
      </w:r>
      <w:r>
        <w:rPr>
          <w:rFonts w:hint="default" w:ascii="Times New Roman" w:hAnsi="Times New Roman" w:eastAsia="方正仿宋_GBK" w:cs="Times New Roman"/>
          <w:b w:val="0"/>
          <w:bCs w:val="0"/>
          <w:sz w:val="32"/>
          <w:szCs w:val="36"/>
        </w:rPr>
        <w:t>产业。</w:t>
      </w:r>
    </w:p>
    <w:p>
      <w:pPr>
        <w:keepNext w:val="0"/>
        <w:keepLines w:val="0"/>
        <w:pageBreakBefore w:val="0"/>
        <w:widowControl w:val="0"/>
        <w:numPr>
          <w:ilvl w:val="0"/>
          <w:numId w:val="6"/>
        </w:numPr>
        <w:kinsoku/>
        <w:wordWrap/>
        <w:overflowPunct w:val="0"/>
        <w:topLinePunct w:val="0"/>
        <w:autoSpaceDE/>
        <w:autoSpaceDN/>
        <w:bidi w:val="0"/>
        <w:adjustRightInd/>
        <w:snapToGrid/>
        <w:spacing w:line="530" w:lineRule="exact"/>
        <w:ind w:left="0" w:leftChars="0" w:firstLine="640" w:firstLineChars="200"/>
        <w:textAlignment w:val="auto"/>
        <w:outlineLvl w:val="2"/>
        <w:rPr>
          <w:rFonts w:hint="default" w:ascii="Times New Roman" w:hAnsi="Times New Roman" w:eastAsia="方正仿宋_GBK" w:cs="Times New Roman"/>
          <w:b w:val="0"/>
          <w:bCs w:val="0"/>
          <w:sz w:val="32"/>
          <w:szCs w:val="32"/>
        </w:rPr>
      </w:pPr>
      <w:bookmarkStart w:id="274" w:name="_Toc2051"/>
      <w:r>
        <w:rPr>
          <w:rFonts w:hint="default" w:ascii="Times New Roman" w:hAnsi="Times New Roman" w:eastAsia="方正仿宋_GBK" w:cs="Times New Roman"/>
          <w:b w:val="0"/>
          <w:bCs w:val="0"/>
          <w:sz w:val="32"/>
          <w:szCs w:val="36"/>
        </w:rPr>
        <w:t>来龙工业园</w:t>
      </w:r>
      <w:bookmarkEnd w:id="274"/>
      <w:r>
        <w:rPr>
          <w:rFonts w:hint="default" w:ascii="Times New Roman" w:hAnsi="Times New Roman" w:eastAsia="方正仿宋_GBK" w:cs="Times New Roman"/>
          <w:b w:val="0"/>
          <w:bCs w:val="0"/>
          <w:sz w:val="32"/>
          <w:szCs w:val="36"/>
          <w:lang w:eastAsia="zh-CN"/>
        </w:rPr>
        <w:t>。</w:t>
      </w:r>
      <w:r>
        <w:rPr>
          <w:rFonts w:hint="default" w:ascii="Times New Roman" w:hAnsi="Times New Roman" w:eastAsia="方正仿宋_GBK" w:cs="Times New Roman"/>
          <w:b w:val="0"/>
          <w:bCs w:val="0"/>
          <w:sz w:val="32"/>
          <w:szCs w:val="36"/>
        </w:rPr>
        <w:t>园区位于宿豫区来龙镇，规划总面积约为14.12平方公里，规划建设来龙港岸线1000米，布置2个挖入式港池，建设12个2000吨级泊位，可直达连云港徐圩港区，形成内河航运综合物流体系。现已初步形成新材料、绿色食品等产业。下一步园区将重点发展“443”临港产业体系中</w:t>
      </w:r>
      <w:r>
        <w:rPr>
          <w:rFonts w:hint="default" w:ascii="Times New Roman" w:hAnsi="Times New Roman" w:eastAsia="方正仿宋_GBK" w:cs="Times New Roman"/>
          <w:b w:val="0"/>
          <w:bCs w:val="0"/>
          <w:sz w:val="32"/>
          <w:szCs w:val="32"/>
        </w:rPr>
        <w:t>的新材料、绿色循环等产业。</w:t>
      </w:r>
    </w:p>
    <w:p>
      <w:pPr>
        <w:pStyle w:val="11"/>
        <w:keepNext w:val="0"/>
        <w:keepLines w:val="0"/>
        <w:pageBreakBefore w:val="0"/>
        <w:widowControl w:val="0"/>
        <w:numPr>
          <w:ilvl w:val="0"/>
          <w:numId w:val="6"/>
        </w:numPr>
        <w:kinsoku/>
        <w:wordWrap/>
        <w:overflowPunct w:val="0"/>
        <w:topLinePunct w:val="0"/>
        <w:autoSpaceDE/>
        <w:autoSpaceDN/>
        <w:bidi w:val="0"/>
        <w:adjustRightInd/>
        <w:snapToGrid/>
        <w:spacing w:after="0" w:line="530" w:lineRule="exact"/>
        <w:ind w:left="0" w:leftChars="0" w:firstLine="640" w:firstLineChars="200"/>
        <w:textAlignment w:val="auto"/>
        <w:outlineLvl w:val="2"/>
        <w:rPr>
          <w:rFonts w:hint="default"/>
        </w:rPr>
      </w:pPr>
      <w:bookmarkStart w:id="275" w:name="_Toc6239"/>
      <w:r>
        <w:rPr>
          <w:rFonts w:hint="default" w:ascii="Times New Roman" w:hAnsi="Times New Roman" w:eastAsia="方正仿宋_GBK" w:cs="Times New Roman"/>
          <w:b w:val="0"/>
          <w:bCs w:val="0"/>
        </w:rPr>
        <w:t>生态化工科技产业园</w:t>
      </w:r>
      <w:bookmarkEnd w:id="275"/>
      <w:r>
        <w:rPr>
          <w:rFonts w:hint="default" w:ascii="Times New Roman" w:hAnsi="Times New Roman" w:eastAsia="方正仿宋_GBK" w:cs="Times New Roman"/>
          <w:b w:val="0"/>
          <w:bCs w:val="0"/>
          <w:lang w:eastAsia="zh-CN"/>
        </w:rPr>
        <w:t>。</w:t>
      </w:r>
      <w:r>
        <w:rPr>
          <w:rFonts w:hint="default" w:ascii="Times New Roman" w:hAnsi="Times New Roman" w:eastAsia="方正仿宋_GBK" w:cs="Times New Roman"/>
          <w:b w:val="0"/>
          <w:bCs w:val="0"/>
        </w:rPr>
        <w:t>园区位于宿迁市北部，新沂河南岸、骆马湖下游，规划面积40平方公里。园区公共基础设施齐全，先后入驻了联盛科技、阿尔法药</w:t>
      </w:r>
      <w:r>
        <w:rPr>
          <w:rFonts w:hint="default" w:ascii="Times New Roman" w:hAnsi="Times New Roman" w:eastAsia="方正仿宋_GBK" w:cs="Times New Roman"/>
          <w:b w:val="0"/>
          <w:bCs w:val="0"/>
          <w:kern w:val="2"/>
          <w:sz w:val="32"/>
          <w:szCs w:val="32"/>
          <w:lang w:val="en-US" w:eastAsia="zh-CN" w:bidi="ar-SA"/>
          <w14:ligatures w14:val="standardContextual"/>
        </w:rPr>
        <w:t>业等龙头骨干企业，现已形成有机新材料和医药大健康化学品2大主导产业。下一步园区将重点发展“443”临港产业新体系中的新材料产业</w:t>
      </w:r>
      <w:r>
        <w:rPr>
          <w:rFonts w:hint="default" w:ascii="Times New Roman" w:hAnsi="Times New Roman" w:eastAsia="方正仿宋_GBK" w:cs="Times New Roman"/>
          <w:b w:val="0"/>
          <w:bCs w:val="0"/>
        </w:rPr>
        <w:t>。</w:t>
      </w:r>
    </w:p>
    <w:p>
      <w:pPr>
        <w:keepNext w:val="0"/>
        <w:keepLines w:val="0"/>
        <w:pageBreakBefore w:val="0"/>
        <w:widowControl w:val="0"/>
        <w:numPr>
          <w:ilvl w:val="0"/>
          <w:numId w:val="6"/>
        </w:numPr>
        <w:kinsoku/>
        <w:wordWrap/>
        <w:overflowPunct w:val="0"/>
        <w:topLinePunct w:val="0"/>
        <w:autoSpaceDE/>
        <w:autoSpaceDN/>
        <w:bidi w:val="0"/>
        <w:adjustRightInd/>
        <w:snapToGrid/>
        <w:spacing w:line="530" w:lineRule="exact"/>
        <w:ind w:firstLine="640" w:firstLineChars="200"/>
        <w:textAlignment w:val="auto"/>
        <w:outlineLvl w:val="2"/>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6"/>
        </w:rPr>
        <w:t>运河宿迁港产业园</w:t>
      </w:r>
      <w:bookmarkStart w:id="276" w:name="_Hlk150428917"/>
      <w:r>
        <w:rPr>
          <w:rFonts w:hint="default" w:ascii="Times New Roman" w:hAnsi="Times New Roman" w:eastAsia="方正仿宋_GBK" w:cs="Times New Roman"/>
          <w:b w:val="0"/>
          <w:bCs w:val="0"/>
          <w:sz w:val="32"/>
          <w:szCs w:val="36"/>
          <w:lang w:eastAsia="zh-CN"/>
        </w:rPr>
        <w:t>。</w:t>
      </w:r>
      <w:r>
        <w:rPr>
          <w:rFonts w:hint="default" w:ascii="Times New Roman" w:hAnsi="Times New Roman" w:eastAsia="方正仿宋_GBK" w:cs="Times New Roman"/>
          <w:b w:val="0"/>
          <w:bCs w:val="0"/>
          <w:sz w:val="32"/>
          <w:szCs w:val="36"/>
        </w:rPr>
        <w:t>园区</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位于宿迁中心城市南部、京杭大运河西岸，总规划面积45.2平方公里</w:t>
      </w:r>
      <w:r>
        <w:rPr>
          <w:rFonts w:hint="default" w:ascii="Times New Roman" w:hAnsi="Times New Roman" w:eastAsia="方正仿宋_GBK" w:cs="Times New Roman"/>
          <w:b w:val="0"/>
          <w:bCs w:val="0"/>
          <w:sz w:val="32"/>
          <w:szCs w:val="36"/>
        </w:rPr>
        <w:t>，具有良好的水运资源和要素禀赋优势，</w:t>
      </w:r>
      <w:bookmarkEnd w:id="276"/>
      <w:r>
        <w:rPr>
          <w:rFonts w:hint="default" w:ascii="Times New Roman" w:hAnsi="Times New Roman" w:eastAsia="方正仿宋_GBK" w:cs="Times New Roman"/>
          <w:b w:val="0"/>
          <w:bCs w:val="0"/>
          <w:sz w:val="32"/>
          <w:szCs w:val="36"/>
        </w:rPr>
        <w:t>目前正加快宿迁保税物流中心（B型）建设，已初步形成了绿色建材、纺织服装、电子元器件等产业。下一步园区将重点发展“443”临港产业新体系</w:t>
      </w:r>
      <w:r>
        <w:rPr>
          <w:rFonts w:hint="default" w:ascii="Times New Roman" w:hAnsi="Times New Roman" w:eastAsia="方正仿宋_GBK" w:cs="Times New Roman"/>
          <w:b w:val="0"/>
          <w:bCs w:val="0"/>
          <w:sz w:val="32"/>
          <w:szCs w:val="32"/>
        </w:rPr>
        <w:t>中的高端纺织、绿色建材、新能源、新材料产业。</w:t>
      </w:r>
    </w:p>
    <w:p>
      <w:pPr>
        <w:keepNext w:val="0"/>
        <w:keepLines w:val="0"/>
        <w:pageBreakBefore w:val="0"/>
        <w:widowControl w:val="0"/>
        <w:numPr>
          <w:ilvl w:val="0"/>
          <w:numId w:val="6"/>
        </w:numPr>
        <w:kinsoku/>
        <w:wordWrap/>
        <w:overflowPunct w:val="0"/>
        <w:topLinePunct w:val="0"/>
        <w:autoSpaceDE/>
        <w:autoSpaceDN/>
        <w:bidi w:val="0"/>
        <w:adjustRightInd/>
        <w:snapToGrid/>
        <w:spacing w:line="530" w:lineRule="exact"/>
        <w:ind w:left="0" w:leftChars="0" w:firstLine="640" w:firstLineChars="200"/>
        <w:textAlignment w:val="auto"/>
        <w:outlineLvl w:val="2"/>
        <w:rPr>
          <w:rFonts w:hint="default"/>
        </w:rPr>
      </w:pPr>
      <w:bookmarkStart w:id="277" w:name="_Toc16662"/>
      <w:r>
        <w:rPr>
          <w:rFonts w:hint="default" w:ascii="Times New Roman" w:hAnsi="Times New Roman" w:eastAsia="方正仿宋_GBK" w:cs="Times New Roman"/>
          <w:b w:val="0"/>
          <w:bCs w:val="0"/>
          <w:sz w:val="32"/>
          <w:szCs w:val="36"/>
        </w:rPr>
        <w:t>洋河临港产业园</w:t>
      </w:r>
      <w:bookmarkEnd w:id="277"/>
      <w:r>
        <w:rPr>
          <w:rFonts w:hint="default" w:ascii="Times New Roman" w:hAnsi="Times New Roman" w:eastAsia="方正仿宋_GBK" w:cs="Times New Roman"/>
          <w:b w:val="0"/>
          <w:bCs w:val="0"/>
          <w:sz w:val="32"/>
          <w:szCs w:val="36"/>
          <w:lang w:eastAsia="zh-CN"/>
        </w:rPr>
        <w:t>。</w:t>
      </w:r>
      <w:r>
        <w:rPr>
          <w:rFonts w:hint="default" w:ascii="Times New Roman" w:hAnsi="Times New Roman" w:eastAsia="方正仿宋_GBK" w:cs="Times New Roman"/>
          <w:b w:val="0"/>
          <w:bCs w:val="0"/>
          <w:sz w:val="32"/>
          <w:szCs w:val="36"/>
        </w:rPr>
        <w:t>园区位于“中国酒都”核心区、宿迁中心城区南部，京杭运</w:t>
      </w:r>
      <w:bookmarkStart w:id="297" w:name="_GoBack"/>
      <w:bookmarkEnd w:id="297"/>
      <w:r>
        <w:rPr>
          <w:rFonts w:hint="default" w:ascii="Times New Roman" w:hAnsi="Times New Roman" w:eastAsia="方正仿宋_GBK" w:cs="Times New Roman"/>
          <w:b w:val="0"/>
          <w:bCs w:val="0"/>
          <w:sz w:val="32"/>
          <w:szCs w:val="36"/>
        </w:rPr>
        <w:t>河右岸，规划总面积约2400亩。园区沿线航道基本无过境通行船只占用航道，航道畅通，具有得天独厚的产业发展优势。目前以食品（酿造）和物流及配套服务产业为重点发展方向，重点推进调味品、农产品深加工、新型食品加工等绿色</w:t>
      </w:r>
      <w:r>
        <w:rPr>
          <w:rFonts w:hint="default" w:ascii="Times New Roman" w:hAnsi="Times New Roman" w:eastAsia="方正仿宋_GBK" w:cs="Times New Roman"/>
          <w:b w:val="0"/>
          <w:bCs w:val="0"/>
          <w:spacing w:val="-6"/>
          <w:sz w:val="32"/>
          <w:szCs w:val="36"/>
        </w:rPr>
        <w:t>食品产业以及物流运输、船舶检测等配套服务产业。下一步园区将重点</w:t>
      </w:r>
      <w:r>
        <w:rPr>
          <w:rFonts w:hint="default" w:ascii="Times New Roman" w:hAnsi="Times New Roman" w:eastAsia="方正仿宋_GBK" w:cs="Times New Roman"/>
          <w:b w:val="0"/>
          <w:bCs w:val="0"/>
          <w:sz w:val="32"/>
          <w:szCs w:val="36"/>
        </w:rPr>
        <w:t>发展“443”临港产业新体系中的</w:t>
      </w:r>
      <w:r>
        <w:rPr>
          <w:rFonts w:hint="default" w:ascii="Times New Roman" w:hAnsi="Times New Roman" w:eastAsia="方正仿宋_GBK" w:cs="Times New Roman"/>
          <w:b w:val="0"/>
          <w:bCs w:val="0"/>
          <w:sz w:val="32"/>
          <w:szCs w:val="32"/>
        </w:rPr>
        <w:t>绿色食品</w:t>
      </w:r>
      <w:r>
        <w:rPr>
          <w:rFonts w:hint="default" w:ascii="Times New Roman" w:hAnsi="Times New Roman" w:eastAsia="方正仿宋_GBK" w:cs="Times New Roman"/>
          <w:b w:val="0"/>
          <w:bCs w:val="0"/>
          <w:sz w:val="32"/>
          <w:szCs w:val="32"/>
          <w:lang w:eastAsia="zh-CN"/>
        </w:rPr>
        <w:t>、装备制造</w:t>
      </w:r>
      <w:r>
        <w:rPr>
          <w:rFonts w:hint="default" w:ascii="Times New Roman" w:hAnsi="Times New Roman" w:eastAsia="方正仿宋_GBK" w:cs="Times New Roman"/>
          <w:b w:val="0"/>
          <w:bCs w:val="0"/>
          <w:sz w:val="32"/>
          <w:szCs w:val="32"/>
        </w:rPr>
        <w:t>产业。</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0"/>
        <w:rPr>
          <w:rFonts w:hint="default" w:ascii="Times New Roman" w:hAnsi="Times New Roman" w:eastAsia="方正黑体_GBK" w:cs="Times New Roman"/>
          <w:b w:val="0"/>
          <w:bCs w:val="0"/>
          <w:sz w:val="32"/>
          <w:szCs w:val="32"/>
        </w:rPr>
      </w:pPr>
      <w:bookmarkStart w:id="278" w:name="_Toc11302"/>
      <w:r>
        <w:rPr>
          <w:rFonts w:hint="default" w:ascii="Times New Roman" w:hAnsi="Times New Roman" w:eastAsia="方正黑体_GBK" w:cs="Times New Roman"/>
          <w:b w:val="0"/>
          <w:bCs w:val="0"/>
          <w:sz w:val="32"/>
          <w:szCs w:val="32"/>
        </w:rPr>
        <w:t>六、主要任务</w:t>
      </w:r>
      <w:bookmarkEnd w:id="278"/>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楷体_GBK" w:cs="Times New Roman"/>
          <w:b w:val="0"/>
          <w:bCs w:val="0"/>
          <w:spacing w:val="-10"/>
          <w:sz w:val="32"/>
          <w:szCs w:val="32"/>
        </w:rPr>
      </w:pPr>
      <w:bookmarkStart w:id="279" w:name="_Toc27739"/>
      <w:r>
        <w:rPr>
          <w:rFonts w:hint="default" w:ascii="Times New Roman" w:hAnsi="Times New Roman" w:eastAsia="方正楷体_GBK" w:cs="Times New Roman"/>
          <w:b w:val="0"/>
          <w:bCs w:val="0"/>
          <w:sz w:val="32"/>
          <w:szCs w:val="32"/>
        </w:rPr>
        <w:t>（一）</w:t>
      </w:r>
      <w:r>
        <w:rPr>
          <w:rFonts w:hint="default" w:ascii="Times New Roman" w:hAnsi="Times New Roman" w:eastAsia="方正楷体_GBK" w:cs="Times New Roman"/>
          <w:b w:val="0"/>
          <w:bCs w:val="0"/>
          <w:spacing w:val="-10"/>
          <w:sz w:val="32"/>
          <w:szCs w:val="32"/>
        </w:rPr>
        <w:t>加快壮大临港产业规模，打造现代化临港产业体系</w:t>
      </w:r>
      <w:bookmarkEnd w:id="279"/>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一是不断强化产业招商。持续释放“168”招商机制潜力，加强专业招商队伍建设，进一步畅通与各县区、市各功能区之间的招商服务通道，推动形成一体化招商联动新格局。围绕全市“</w:t>
      </w:r>
      <w:r>
        <w:rPr>
          <w:rFonts w:hint="default" w:ascii="Times New Roman" w:hAnsi="Times New Roman" w:eastAsia="方正仿宋_GBK" w:cs="Times New Roman"/>
          <w:b w:val="0"/>
          <w:bCs w:val="0"/>
          <w:sz w:val="32"/>
          <w:szCs w:val="32"/>
          <w:lang w:val="en-US" w:eastAsia="zh-CN"/>
        </w:rPr>
        <w:t>615</w:t>
      </w:r>
      <w:r>
        <w:rPr>
          <w:rFonts w:hint="default" w:ascii="Times New Roman" w:hAnsi="Times New Roman" w:eastAsia="方正仿宋_GBK" w:cs="Times New Roman"/>
          <w:b w:val="0"/>
          <w:bCs w:val="0"/>
          <w:sz w:val="32"/>
          <w:szCs w:val="32"/>
        </w:rPr>
        <w:t>”产业体系及“</w:t>
      </w:r>
      <w:r>
        <w:rPr>
          <w:rFonts w:hint="default" w:ascii="Times New Roman" w:hAnsi="Times New Roman" w:eastAsia="方正仿宋_GBK" w:cs="Times New Roman"/>
          <w:b w:val="0"/>
          <w:bCs w:val="0"/>
          <w:sz w:val="32"/>
          <w:szCs w:val="32"/>
          <w:lang w:val="en-US" w:eastAsia="zh-CN"/>
        </w:rPr>
        <w:t>443</w:t>
      </w:r>
      <w:r>
        <w:rPr>
          <w:rFonts w:hint="default" w:ascii="Times New Roman" w:hAnsi="Times New Roman" w:eastAsia="方正仿宋_GBK" w:cs="Times New Roman"/>
          <w:b w:val="0"/>
          <w:bCs w:val="0"/>
          <w:sz w:val="32"/>
          <w:szCs w:val="32"/>
        </w:rPr>
        <w:t>”临港产业新体系，大力招引大型央企国企、跨国公司、世界500强等境内外龙头企业、科研机构等在宿迁临港产业带设立地区总部、研发中心、营销中心、物流中心、结算中心等功能性机构。以临港产业园区为主战场，优化招商方向、招商重点、招商区域的定位和选择，加强项目布局和规划，分区域、分产业加大工业项目招商力度，着力招引产业层次高、创新能力强、发展前景好的项目，提高产业集聚度和产业特色。</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是加快推动重点项目落地。聚焦项目落地，建立健全项目推进机制，全力打造“建成一批、续建一批、开工一批、储备一批、谋划一批”的项目梯队。优化招引重大产业项目的条件和环境，促进各类要素向好项目、重点项目、超亿元项目倾斜，优先保障重点项目落地。完善市领导挂钩联系重大项目机制、全市域统筹推进重大产业项目工作机制，优化项目审批流程，做好跟踪服务，推动项目早开工、早投产、早见效。强化过程管理，做好月度监测和通报，完善企业问题收集汇总机制，全面掌握企业在生产经营、项目建设中存在的问题，及时协调解决。强化年度考核，有效发挥考核的引导推动作用。</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是发展壮大现有龙头骨干企业。聚焦绿色建材、绿色家居、高端纺织等传统优势产业链，鼓励现有优势企业通过创新升级、上市融资、兼并重组、战略合作等方式壮大主业、增强核心竞争力，打造一批掌握标准制定权、行业话语权、市场主导权的“链主”企业。推动有条件的龙头骨干企业加快主辅分离，积极利用业务优势及存量资产发展生产性服务业，从单一的生产加工环节向附加值更大、利润率更高的自主研发、品牌销售等服务环节延伸。引导有条件的大型龙头企业输出配套产品标准，带领配套中小企业共同开展技术创新和产品研发。推动龙头骨干企业带头“走出去”，主动深度参与国际分工，建立海外产品研发中心、实验基地和全球营销及服务体系，在研发、设计和服务等高附加值领域积累竞争优势。</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楷体_GBK" w:cs="Times New Roman"/>
          <w:b w:val="0"/>
          <w:bCs w:val="0"/>
          <w:spacing w:val="-12"/>
          <w:sz w:val="32"/>
          <w:szCs w:val="32"/>
        </w:rPr>
      </w:pPr>
      <w:bookmarkStart w:id="280" w:name="_Toc7443"/>
      <w:r>
        <w:rPr>
          <w:rFonts w:hint="default" w:ascii="Times New Roman" w:hAnsi="Times New Roman" w:eastAsia="方正楷体_GBK" w:cs="Times New Roman"/>
          <w:b w:val="0"/>
          <w:bCs w:val="0"/>
          <w:sz w:val="32"/>
          <w:szCs w:val="32"/>
        </w:rPr>
        <w:t>（二）</w:t>
      </w:r>
      <w:r>
        <w:rPr>
          <w:rFonts w:hint="default" w:ascii="Times New Roman" w:hAnsi="Times New Roman" w:eastAsia="方正楷体_GBK" w:cs="Times New Roman"/>
          <w:b w:val="0"/>
          <w:bCs w:val="0"/>
          <w:spacing w:val="-12"/>
          <w:sz w:val="32"/>
          <w:szCs w:val="32"/>
        </w:rPr>
        <w:t>高标准打造现代化港口，提升港口服务产业发展能力</w:t>
      </w:r>
      <w:bookmarkEnd w:id="280"/>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是优化港口功能布局。科学统筹全市港口资源，进一步明确宿迁港四大港区功能定位。中心港区为宿迁港核心港区，以矿建材料、煤炭、钢材等散杂货和集装箱运输为主，逐步发展成为宿迁港重要的综合性港区和公铁水多式联运枢纽港区，积极拓展港口物流、综合保税等功能。沭阳港区以矿建材料、钢材、木材、煤炭等散杂货运输为主，兼顾集装箱运输，主要为宿连航道沿线及周边地区城镇建设、板材深加工、高端纺织、装备制造、绿色食品等产业发展服务。泗阳港区以散杂货运输为主，兼顾集装箱运输，主要为泗阳县及周边地区城镇建设、高端家居、装备制造以及纺织等产业发展服务。泗洪港区以散杂货运输为主，兼顾集装箱运输，主要为泗洪县及周边地区的城镇建设和机电装备、绿色食品、光伏、新材料等产业发展服务。</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是拓展宿迁港综合服务功能。持续巩固和强化现有装卸储存、中转换装、运输组织、通信信息、生产生活服务等传统港口功能。加快提升宿迁港发展能级，结合金属矿石、液体化工原料、矿建材料等宿迁港主要货种特点，积极拓展配载配送、综合保税、粗加工、跨境电子商务、供应链管理等现代物流服务功能，建立全程物流综合信息服务平台。大力发展航运金融服务，联合金融机构、保险公司加快开展金融结算、航运保险、保险公估等服务，探索第三方评估、供应链金融等服务。适应宿迁跨境电商综试区建设需要，强化港口保税功能，积极开展国际中转、国际采购、国际配送、国际转口贸易等业务。</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是提升港口数字化绿色化发展水平。加快构建与港口和产业发展相适应、功能配套齐全高效的现代化港口基础设施体系。推进5G、物联网、人工智能等新一代信息技术的应用推广，探索建立标准化的智慧港口运营、管理、运行体系框架，推动港口整体运行效率、货运效能、客货服务、协同数字化管理等综合能力不断提升。加快推动运河宿迁港区、泗阳港区基础设施数字化升级改造，打造运河宿迁港35个2000吨级泊位、集装箱30万标箱承载量的水运“核心区”。结合宿连航道建设，推动泗阳港区集装箱作业能力再提升，将运河宿迁港打造成为集聚铁路、航空、水运资</w:t>
      </w:r>
      <w:r>
        <w:rPr>
          <w:rFonts w:hint="default" w:ascii="Times New Roman" w:hAnsi="Times New Roman" w:eastAsia="方正仿宋_GBK" w:cs="Times New Roman"/>
          <w:b w:val="0"/>
          <w:bCs w:val="0"/>
          <w:spacing w:val="-6"/>
          <w:sz w:val="32"/>
          <w:szCs w:val="32"/>
        </w:rPr>
        <w:t>源的“一站式”综合枢纽港。继续推进港口岸电建设，推动靠港船</w:t>
      </w:r>
      <w:r>
        <w:rPr>
          <w:rFonts w:hint="default" w:ascii="Times New Roman" w:hAnsi="Times New Roman" w:eastAsia="方正仿宋_GBK" w:cs="Times New Roman"/>
          <w:b w:val="0"/>
          <w:bCs w:val="0"/>
          <w:sz w:val="32"/>
          <w:szCs w:val="32"/>
        </w:rPr>
        <w:t>舶使用岸电或转用低硫燃油，进一步提升船舶岸电使用率。</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楷体_GBK" w:cs="Times New Roman"/>
          <w:b w:val="0"/>
          <w:bCs w:val="0"/>
          <w:sz w:val="32"/>
          <w:szCs w:val="32"/>
        </w:rPr>
      </w:pPr>
      <w:bookmarkStart w:id="281" w:name="_Toc19220"/>
      <w:r>
        <w:rPr>
          <w:rFonts w:hint="default" w:ascii="Times New Roman" w:hAnsi="Times New Roman" w:eastAsia="方正楷体_GBK" w:cs="Times New Roman"/>
          <w:b w:val="0"/>
          <w:bCs w:val="0"/>
          <w:sz w:val="32"/>
          <w:szCs w:val="32"/>
        </w:rPr>
        <w:t>（三）完善港口集疏运体系，助力提升产业链运转效率</w:t>
      </w:r>
      <w:bookmarkEnd w:id="281"/>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是完善港口集疏运通道建设。以京杭运河为主轴，三级以上航道为骨干，加快干线航道及重要航道建设。全面建成宿连航道一期工程，加快推进二期工程，打通宿迁东向出海水运通道；加快徐宝线（徐洪河）航道整治工程建设，完善全市“东联西拓南承北接”航道网。推进重点港区疏港公路、铁路建设，进一步完善港口集疏运体系。加强港口支线航道、铁路用地、集疏港道路规划研究，大力推进货运铁路进港，加快完成运河宿迁港铁路专用线建设，完善到发线、调车线、装卸线等铁路设施，实现铁路深入码头堆场，打通铁路进港最后一公里，提高货物铁水中转量占比。加快推进云帆大道等疏港大道项目建设，进一步完善集疏运体系。</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是大力发展内河集装箱运输。充分发挥宿迁内河航道资源优势，推进内河集装箱运输体系建设，做优“宿迁—连云港”的集装箱海河联运品牌，做强“宿迁—太仓港（上海港）”的外贸集装箱联运品牌。依托京杭运河以及宿连航道，积极推广“五定班轮”运行模式，</w:t>
      </w:r>
      <w:r>
        <w:rPr>
          <w:rFonts w:hint="default" w:ascii="Times New Roman" w:hAnsi="Times New Roman" w:eastAsia="仿宋" w:cs="Times New Roman"/>
          <w:b w:val="0"/>
          <w:bCs w:val="0"/>
          <w:sz w:val="32"/>
          <w:szCs w:val="32"/>
        </w:rPr>
        <w:t>大力发展集装箱江海河联运，</w:t>
      </w:r>
      <w:r>
        <w:rPr>
          <w:rFonts w:hint="default" w:ascii="Times New Roman" w:hAnsi="Times New Roman" w:eastAsia="方正仿宋_GBK" w:cs="Times New Roman"/>
          <w:b w:val="0"/>
          <w:bCs w:val="0"/>
          <w:sz w:val="32"/>
          <w:szCs w:val="32"/>
        </w:rPr>
        <w:t>形成覆盖全省主要内河集装箱港口、辐射皖北、鲁南、豫东等周边地区的内河集装箱航线网络。加快发展“散改集”运输，结合清洁化、标准化、少损化运输需求，配置专业化的集装箱拆装箱场地和设备，引导粮食、煤炭、建材等传统货物向集装箱运输转变。大力引进大型航运企业鼓励内河集装箱航运企业规模化、集约化发展，培育形成一批龙头型内河集装箱航运企业。</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是加快发展公铁水多式联运。以水运与铁路衔接为重点，推动建立与多式联运相适应的规则协调和互认机制。深入推进多式联运“一单制”，运河宿迁港以集装箱标准化货物单元为重点，探索推行协调互认的单证规则和服务规范，实现“一次托运、一张单证、一次结算、一单到底”的“一单制”多式联运全程运输。推动大型工矿企业和物流园区充分利用已有干支线航道、铁路专用线能力，逐步将大宗货物运输转向水路运输。进一步加强煤炭、矿石、焦炭、粮食等大宗货物集疏港运输管理，开展重点企业运输结构常态化运行监测工作，建立全市大宗货物运输、集装箱“公转水”运行状态运行监测和报送机制。探索推广大宗固体废物公铁水协调联运模式。</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楷体_GBK" w:cs="Times New Roman"/>
          <w:b w:val="0"/>
          <w:bCs w:val="0"/>
          <w:spacing w:val="-12"/>
          <w:sz w:val="32"/>
          <w:szCs w:val="32"/>
        </w:rPr>
      </w:pPr>
      <w:bookmarkStart w:id="282" w:name="_Toc1027"/>
      <w:r>
        <w:rPr>
          <w:rFonts w:hint="default" w:ascii="Times New Roman" w:hAnsi="Times New Roman" w:eastAsia="方正楷体_GBK" w:cs="Times New Roman"/>
          <w:b w:val="0"/>
          <w:bCs w:val="0"/>
          <w:sz w:val="32"/>
          <w:szCs w:val="32"/>
        </w:rPr>
        <w:t>（四）</w:t>
      </w:r>
      <w:r>
        <w:rPr>
          <w:rFonts w:hint="default" w:ascii="Times New Roman" w:hAnsi="Times New Roman" w:eastAsia="方正楷体_GBK" w:cs="Times New Roman"/>
          <w:b w:val="0"/>
          <w:bCs w:val="0"/>
          <w:spacing w:val="-12"/>
          <w:sz w:val="32"/>
          <w:szCs w:val="32"/>
        </w:rPr>
        <w:t>加快推动港产互促互进，提升港产联动融合发展水平</w:t>
      </w:r>
      <w:bookmarkEnd w:id="282"/>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是做强临港特色产业园区。坚持分工协作、集聚集约原则，统筹协调临港产业和城市空间布局，引导临港及关联产业入园入区，推进临港产业和空间高效匹配，提升产业空间全生命周期效率。因地制宜优化整合临港产业，加快建设运河宿迁港产业园、郑楼运河港产业园、宿迁市陆集临港产业园、沭阳临港产业园、朱湖作业区临港产业园等临港特色产业园区。加快推进园区提档升级，推动实现园区内产业专业化分工协作及集群发展，园区间基础设施互联互通、产业互补，不断提升园区承载力和集聚度。</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是加强港口与产业联动互促。建立港口和产业发展的联动发展机制，着力构建港产一体化发展模式。加强港口规划与产业规划的统筹协调，根据宿迁市相关产业发展规划，有针对性地加强港口专业性泊位建设；加强港口与供电、供水、水利、防洪、综合交通等其它专项规划的协调联动。</w:t>
      </w:r>
      <w:r>
        <w:rPr>
          <w:rFonts w:hint="default" w:ascii="Times New Roman" w:hAnsi="Times New Roman" w:eastAsia="仿宋" w:cs="Times New Roman"/>
          <w:b w:val="0"/>
          <w:bCs w:val="0"/>
          <w:sz w:val="32"/>
          <w:szCs w:val="32"/>
        </w:rPr>
        <w:t>建立港口与腹地园区、开发区的联动合作机制，通过货主企业联席会等形式，定期或不定期组织区港联动座谈会和交流宣传活动。</w:t>
      </w:r>
      <w:r>
        <w:rPr>
          <w:rFonts w:hint="default" w:ascii="Times New Roman" w:hAnsi="Times New Roman" w:eastAsia="方正仿宋_GBK" w:cs="Times New Roman"/>
          <w:b w:val="0"/>
          <w:bCs w:val="0"/>
          <w:sz w:val="32"/>
          <w:szCs w:val="32"/>
        </w:rPr>
        <w:t>积极发展与临港产业密切相关的货种运输，合理配套泊位性质、等级和规模，为临港产业发展提供高效便捷的物资运输服务，形成港口与产业互为支撑、联动发展新格局。</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是持续优化临港产业空间布局。立足重点航道沿线园区和乡镇产业基础、区位优势、资源条件、环境承载能力等，持续优化临港产业空间布局，强化相邻产业集聚区以及各产业集聚区内部的产业融合、开发联合、机制整合，推动产业特色化、差异化、高端化发展，不断提高产业集群集聚、协同发展水平。提升港口陆域空间利用水平，合理确定产业集聚区规划层次和规模，科学划分产业功能区、城市配套区、港口作业区、航运服务区等区块，提出各功能区块的发展导向和建设要求，为发展特色产业、承接优势项目、培育龙头企业打造核心承载主体，有效促进临港工业园区和城市形成组合优势，实现港产城互动发展。</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楷体_GBK" w:cs="Times New Roman"/>
          <w:b w:val="0"/>
          <w:bCs w:val="0"/>
          <w:spacing w:val="-12"/>
          <w:sz w:val="32"/>
          <w:szCs w:val="32"/>
        </w:rPr>
      </w:pPr>
      <w:bookmarkStart w:id="283" w:name="_Toc17937"/>
      <w:r>
        <w:rPr>
          <w:rFonts w:hint="default" w:ascii="Times New Roman" w:hAnsi="Times New Roman" w:eastAsia="方正楷体_GBK" w:cs="Times New Roman"/>
          <w:b w:val="0"/>
          <w:bCs w:val="0"/>
          <w:sz w:val="32"/>
          <w:szCs w:val="32"/>
        </w:rPr>
        <w:t>（五）</w:t>
      </w:r>
      <w:r>
        <w:rPr>
          <w:rFonts w:hint="default" w:ascii="Times New Roman" w:hAnsi="Times New Roman" w:eastAsia="方正楷体_GBK" w:cs="Times New Roman"/>
          <w:b w:val="0"/>
          <w:bCs w:val="0"/>
          <w:spacing w:val="-12"/>
          <w:sz w:val="32"/>
          <w:szCs w:val="32"/>
        </w:rPr>
        <w:t>持续加强对外开放合作，促进产业深度参与国际分工</w:t>
      </w:r>
      <w:bookmarkEnd w:id="283"/>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是加快推动宿迁港与省港口集团开展合作。加快融入长三角区域港口一体化、江苏省港口一体化发展，积极与省港口集团开展合作。积极融入我省以连云港为核心的海铁联运通道，充分利用宿连航道，借力国际海运资源要素，建设宿迁至连云港的“宿连快航”航运快速通道，打通宿迁最近的“出海”通道，为宿迁提供方便快捷的国际港口服务。加快宿连航道二期建设，积极融入连云港“一体两翼”海港布局，依托连云港港主港区或南翼徐圩港区设立宿迁专属作业区，推动两市共建共享海港泊位及配套堆场设施。加强与南京港、苏州港、南通港等沿江港口在航线开辟、物流运输等方面开展合作，加快推广集散两用船型，壮大宿迁内河运输船队规模，提升宿迁港在全省港口中的地位。</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是加强宿迁港与京杭运河沿线港口城市的合作。充分发挥宿迁港处于苏鲁豫皖交汇中心和京杭大运河黄金水道的地理优势，推动与徐州、淮安、太仓等京杭大运河沿线港口城市的水运中转合作，进一步提升全市内河航道等级和船闸通过能力，加密宿迁至太仓的江海河联运线路，做好大宗货物的集散分拨，打造连通苏鲁豫皖京杭大运河航运枢纽中心。积极参与“一带一路”建设，加强与徐州双楼港、顺堤河港合作，以“水铁”联运转关模式，推动铁路集装箱通过运河宿迁港货运中转，打造双向“中欧班列”连接通道，构建宿徐“水铁+班列”联运体系。</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是打造高水平对外开放合作平台。加快推进综合保税区申创工作，加快宿迁保税物流中心创建，开展保税仓储、保税物流、国际分拨配送等业务，为跨境电商、大型进口企业提供保税备货服务，推动跨境电商新业态发展，服务宿迁跨境电商综试区建设。推进运河宿迁港二期口岸功能建设，加快规划布局三期监管作业区、港铁作业区、冷链仓储区，打造立体货运平台。加大港口外贸资源引进力度，支持港口新开或加密航线，突出与RCEP国家的近洋航线建设，力争引进马士基、地中海、中外运等大型外贸船</w:t>
      </w:r>
      <w:r>
        <w:rPr>
          <w:rFonts w:hint="default" w:ascii="Times New Roman" w:hAnsi="Times New Roman" w:eastAsia="方正仿宋_GBK" w:cs="Times New Roman"/>
          <w:b w:val="0"/>
          <w:bCs w:val="0"/>
          <w:spacing w:val="-6"/>
          <w:sz w:val="32"/>
          <w:szCs w:val="32"/>
        </w:rPr>
        <w:t>企进驻，并设立“提还箱点”，搭建更多的远洋运输通道。鼓励和支</w:t>
      </w:r>
      <w:r>
        <w:rPr>
          <w:rFonts w:hint="default" w:ascii="Times New Roman" w:hAnsi="Times New Roman" w:eastAsia="方正仿宋_GBK" w:cs="Times New Roman"/>
          <w:b w:val="0"/>
          <w:bCs w:val="0"/>
          <w:sz w:val="32"/>
          <w:szCs w:val="32"/>
        </w:rPr>
        <w:t>持外贸船企在宿设立办事处，提升外贸集装箱服务保障能力。</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楷体_GBK" w:cs="Times New Roman"/>
          <w:b w:val="0"/>
          <w:bCs w:val="0"/>
          <w:spacing w:val="-16"/>
          <w:sz w:val="32"/>
          <w:szCs w:val="32"/>
        </w:rPr>
      </w:pPr>
      <w:bookmarkStart w:id="284" w:name="_Toc22599"/>
      <w:r>
        <w:rPr>
          <w:rFonts w:hint="default" w:ascii="Times New Roman" w:hAnsi="Times New Roman" w:eastAsia="方正楷体_GBK" w:cs="Times New Roman"/>
          <w:b w:val="0"/>
          <w:bCs w:val="0"/>
          <w:sz w:val="32"/>
          <w:szCs w:val="32"/>
        </w:rPr>
        <w:t>（六）</w:t>
      </w:r>
      <w:r>
        <w:rPr>
          <w:rFonts w:hint="default" w:ascii="Times New Roman" w:hAnsi="Times New Roman" w:eastAsia="方正楷体_GBK" w:cs="Times New Roman"/>
          <w:b w:val="0"/>
          <w:bCs w:val="0"/>
          <w:spacing w:val="-16"/>
          <w:sz w:val="32"/>
          <w:szCs w:val="32"/>
        </w:rPr>
        <w:t>吸引航运服务要素集聚，加快推动港口航运服务业发展</w:t>
      </w:r>
      <w:bookmarkEnd w:id="284"/>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一是打造航运服务集聚区。以中心港区为重点，高水平建设现代航运服务集聚区，支持引导航运企业、船代货代和船舶服务、航运物流、国际贸易、融资租赁、商业保理等主体落户。鼓励航运经纪、航运代理、船舶管理、船员劳务等航运服务企业实现规模化、高端化发展，积极培育航运保险、融资、经纪、公估、理算、资讯等高端航运服务业。支持和鼓励航运服务企业挂牌上市，提升公司治理水平，促进航运企业做大做强做优。</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二是加强航运人才引进和集聚。借鉴国内外航运人才培养的先进经验，构建与国际接轨的航运人才培养体系，引进高水平航运培训机构，加快推进航运人才的培养和引进。围绕全市航运服务业发展需求，探索通过校企联合等方式，加强与江苏海事职业技术学院、江苏航运职业技术学院等省内高校的合作，促进航运人才培训，为全市航运市场输送船员和高端航运人才。推动建设船员职业保障公共服务平台，为高素质航运人才队伍建设提供支撑。加快引进高水平国际航运服务业务团队，支撑高端航运服务聚集发展。</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三是完善航运服务业发展生态。加大对航运服务业发展的金融支持力度，推动出台我市支持航运业发展的政策措施，对航运企业新增船舶、应用绿色数字技术等优质项目，给予适当资金支持。完善航运安全保障机制，进一步加强宿迁地方海事局执法力量，完善内河通航水域巡航检查、船舶监管、船员管理和事故调查等领域的执法监管机制，加快推进航运企业分类分级管理。严格执行船舶强制报废制度，加快淘汰一批老旧运输船舶，鼓励建造符合新规范和新标准的船舶。鼓励符合条件的本地航运企业和船舶从事国际运输。</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0"/>
        <w:rPr>
          <w:rFonts w:hint="default" w:ascii="Times New Roman" w:hAnsi="Times New Roman" w:eastAsia="方正黑体_GBK" w:cs="Times New Roman"/>
          <w:b w:val="0"/>
          <w:bCs w:val="0"/>
          <w:sz w:val="32"/>
          <w:szCs w:val="32"/>
        </w:rPr>
      </w:pPr>
      <w:bookmarkStart w:id="285" w:name="_Toc31671"/>
      <w:r>
        <w:rPr>
          <w:rFonts w:hint="default" w:ascii="Times New Roman" w:hAnsi="Times New Roman" w:eastAsia="方正黑体_GBK" w:cs="Times New Roman"/>
          <w:b w:val="0"/>
          <w:bCs w:val="0"/>
          <w:sz w:val="32"/>
          <w:szCs w:val="32"/>
        </w:rPr>
        <w:t>七、保障措施</w:t>
      </w:r>
      <w:bookmarkEnd w:id="285"/>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仿宋_GBK" w:cs="Times New Roman"/>
          <w:b w:val="0"/>
          <w:bCs w:val="0"/>
          <w:sz w:val="32"/>
          <w:szCs w:val="32"/>
        </w:rPr>
      </w:pPr>
      <w:bookmarkStart w:id="286" w:name="_Toc6559"/>
      <w:r>
        <w:rPr>
          <w:rFonts w:hint="default" w:ascii="Times New Roman" w:hAnsi="Times New Roman" w:eastAsia="方正楷体_GBK" w:cs="Times New Roman"/>
          <w:b w:val="0"/>
          <w:bCs w:val="0"/>
          <w:sz w:val="32"/>
          <w:szCs w:val="32"/>
        </w:rPr>
        <w:t>（一）加强组织领导</w:t>
      </w:r>
      <w:bookmarkEnd w:id="286"/>
      <w:r>
        <w:rPr>
          <w:rFonts w:hint="eastAsia" w:ascii="Times New Roman" w:hAnsi="Times New Roman" w:eastAsia="方正楷体_GBK" w:cs="Times New Roman"/>
          <w:b w:val="0"/>
          <w:bCs w:val="0"/>
          <w:sz w:val="32"/>
          <w:szCs w:val="32"/>
          <w:lang w:eastAsia="zh-CN"/>
        </w:rPr>
        <w:t>。</w:t>
      </w:r>
      <w:r>
        <w:rPr>
          <w:rFonts w:hint="default" w:ascii="Times New Roman" w:hAnsi="Times New Roman" w:eastAsia="方正仿宋_GBK" w:cs="Times New Roman"/>
          <w:b w:val="0"/>
          <w:bCs w:val="0"/>
          <w:sz w:val="32"/>
          <w:szCs w:val="32"/>
        </w:rPr>
        <w:t>成立由市</w:t>
      </w:r>
      <w:r>
        <w:rPr>
          <w:rFonts w:hint="eastAsia" w:ascii="Times New Roman" w:hAnsi="Times New Roman" w:eastAsia="方正仿宋_GBK" w:cs="Times New Roman"/>
          <w:b w:val="0"/>
          <w:bCs w:val="0"/>
          <w:sz w:val="32"/>
          <w:szCs w:val="32"/>
          <w:lang w:eastAsia="zh-CN"/>
        </w:rPr>
        <w:t>政府</w:t>
      </w:r>
      <w:r>
        <w:rPr>
          <w:rFonts w:hint="default" w:ascii="Times New Roman" w:hAnsi="Times New Roman" w:eastAsia="方正仿宋_GBK" w:cs="Times New Roman"/>
          <w:b w:val="0"/>
          <w:bCs w:val="0"/>
          <w:sz w:val="32"/>
          <w:szCs w:val="32"/>
        </w:rPr>
        <w:t>分管领导牵头，港口主管部门、重点航道沿线区域相关职能部门参与的宿迁港产业发展工作专班，统筹谋划全市临港产业发展。组织制定宿迁港产业发展任务清单和年度工作要点，细化各部门工作职责，定期召开工作联席会议，及时研究解决宿迁港产业发展过程中遇到的重大事项、特殊性和政策性问题。各相关部门根据自身工作职责，配合做好宿迁港产业发展相关工作，切实形成工作合力。</w:t>
      </w:r>
      <w:bookmarkStart w:id="287" w:name="_Toc9201"/>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楷体_GBK" w:cs="Times New Roman"/>
          <w:b w:val="0"/>
          <w:bCs w:val="0"/>
          <w:sz w:val="32"/>
          <w:szCs w:val="32"/>
          <w:lang w:eastAsia="zh-CN"/>
        </w:rPr>
        <w:t>（二）</w:t>
      </w:r>
      <w:r>
        <w:rPr>
          <w:rFonts w:hint="default" w:ascii="Times New Roman" w:hAnsi="Times New Roman" w:eastAsia="方正楷体_GBK" w:cs="Times New Roman"/>
          <w:b w:val="0"/>
          <w:bCs w:val="0"/>
          <w:sz w:val="32"/>
          <w:szCs w:val="32"/>
        </w:rPr>
        <w:t>加强政策支持</w:t>
      </w:r>
      <w:bookmarkEnd w:id="287"/>
      <w:r>
        <w:rPr>
          <w:rFonts w:hint="eastAsia" w:ascii="Times New Roman" w:hAnsi="Times New Roman" w:eastAsia="方正楷体_GBK" w:cs="Times New Roman"/>
          <w:b w:val="0"/>
          <w:bCs w:val="0"/>
          <w:sz w:val="32"/>
          <w:szCs w:val="32"/>
          <w:lang w:eastAsia="zh-CN"/>
        </w:rPr>
        <w:t>。</w:t>
      </w:r>
      <w:r>
        <w:rPr>
          <w:rFonts w:hint="default" w:ascii="Times New Roman" w:hAnsi="Times New Roman" w:eastAsia="方正仿宋_GBK" w:cs="Times New Roman"/>
          <w:b w:val="0"/>
          <w:bCs w:val="0"/>
          <w:sz w:val="32"/>
          <w:szCs w:val="32"/>
        </w:rPr>
        <w:t>用足用好国家和省支持临港经济、产业发展的各项政策措施，在重点领域、重大事项和重点项目上，积极争取国家和省在示范评定和资金补助等方面的支持。积极争取将宿迁港产业发展主要任务列入省交通运输厅支持宿迁“四化”同步年度清单。加大对全市多式联运、口岸建设、通关便利化等扶持政策研究力度。加快落实升级内河集装箱示范航线支持政策，继续扶持宿迁港集装箱发展。各县（区）结合实际，研究制定政策措施，积极支持全市内河港口综合发展。</w:t>
      </w:r>
    </w:p>
    <w:p>
      <w:pPr>
        <w:keepNext w:val="0"/>
        <w:keepLines w:val="0"/>
        <w:pageBreakBefore w:val="0"/>
        <w:widowControl w:val="0"/>
        <w:numPr>
          <w:ilvl w:val="0"/>
          <w:numId w:val="0"/>
        </w:numPr>
        <w:kinsoku/>
        <w:wordWrap/>
        <w:overflowPunct w:val="0"/>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仿宋_GBK" w:cs="Times New Roman"/>
          <w:b w:val="0"/>
          <w:bCs w:val="0"/>
          <w:sz w:val="32"/>
          <w:szCs w:val="32"/>
        </w:rPr>
      </w:pPr>
      <w:bookmarkStart w:id="288" w:name="_Toc8908"/>
      <w:r>
        <w:rPr>
          <w:rFonts w:hint="default" w:ascii="Times New Roman" w:hAnsi="Times New Roman" w:eastAsia="方正楷体_GBK" w:cs="Times New Roman"/>
          <w:b w:val="0"/>
          <w:bCs w:val="0"/>
          <w:sz w:val="32"/>
          <w:szCs w:val="32"/>
          <w:lang w:eastAsia="zh-CN"/>
        </w:rPr>
        <w:t>（三）</w:t>
      </w:r>
      <w:r>
        <w:rPr>
          <w:rFonts w:hint="default" w:ascii="Times New Roman" w:hAnsi="Times New Roman" w:eastAsia="方正楷体_GBK" w:cs="Times New Roman"/>
          <w:b w:val="0"/>
          <w:bCs w:val="0"/>
          <w:sz w:val="32"/>
          <w:szCs w:val="32"/>
        </w:rPr>
        <w:t>加强要素支持</w:t>
      </w:r>
      <w:bookmarkEnd w:id="288"/>
      <w:r>
        <w:rPr>
          <w:rFonts w:hint="eastAsia" w:ascii="Times New Roman" w:hAnsi="Times New Roman" w:eastAsia="方正楷体_GBK" w:cs="Times New Roman"/>
          <w:b w:val="0"/>
          <w:bCs w:val="0"/>
          <w:sz w:val="32"/>
          <w:szCs w:val="32"/>
          <w:lang w:eastAsia="zh-CN"/>
        </w:rPr>
        <w:t>。</w:t>
      </w:r>
      <w:r>
        <w:rPr>
          <w:rFonts w:hint="default" w:ascii="Times New Roman" w:hAnsi="Times New Roman" w:eastAsia="方正仿宋_GBK" w:cs="Times New Roman"/>
          <w:b w:val="0"/>
          <w:bCs w:val="0"/>
          <w:sz w:val="32"/>
          <w:szCs w:val="32"/>
        </w:rPr>
        <w:t>深化产业用地市场化配置改革，在符合国土空间规划用途管制要求前提下，创新港口、产业、城市建设用地使用方式，推动临港工业、物流等不同产业用地类型合理转换。探索增加混合产业用地供给，促进土地资源适当向临港产业的重点方向、重点领域和重点企业倾斜，实现产业用地高效利用。加大临港产业人才引进力度，围绕重点产业和园区发展需求，加快集聚高层次科技领军人才、高水平创新型人才。</w:t>
      </w:r>
    </w:p>
    <w:p>
      <w:pPr>
        <w:keepNext w:val="0"/>
        <w:keepLines w:val="0"/>
        <w:pageBreakBefore w:val="0"/>
        <w:widowControl w:val="0"/>
        <w:numPr>
          <w:ilvl w:val="0"/>
          <w:numId w:val="0"/>
        </w:numPr>
        <w:kinsoku/>
        <w:wordWrap/>
        <w:overflowPunct w:val="0"/>
        <w:topLinePunct w:val="0"/>
        <w:autoSpaceDE/>
        <w:autoSpaceDN/>
        <w:bidi w:val="0"/>
        <w:adjustRightInd/>
        <w:snapToGrid/>
        <w:spacing w:line="530" w:lineRule="exact"/>
        <w:ind w:firstLine="640" w:firstLineChars="200"/>
        <w:textAlignment w:val="auto"/>
        <w:outlineLvl w:val="1"/>
        <w:rPr>
          <w:rFonts w:hint="default" w:ascii="Times New Roman" w:hAnsi="Times New Roman" w:eastAsia="方正仿宋_GBK" w:cs="Times New Roman"/>
          <w:b w:val="0"/>
          <w:bCs w:val="0"/>
          <w:sz w:val="32"/>
          <w:szCs w:val="32"/>
        </w:rPr>
      </w:pPr>
      <w:bookmarkStart w:id="289" w:name="_Toc12021"/>
      <w:r>
        <w:rPr>
          <w:rFonts w:hint="default" w:ascii="Times New Roman" w:hAnsi="Times New Roman" w:eastAsia="方正楷体_GBK" w:cs="Times New Roman"/>
          <w:b w:val="0"/>
          <w:bCs w:val="0"/>
          <w:sz w:val="32"/>
          <w:szCs w:val="32"/>
          <w:lang w:eastAsia="zh-CN"/>
        </w:rPr>
        <w:t>（四）</w:t>
      </w:r>
      <w:r>
        <w:rPr>
          <w:rFonts w:hint="default" w:ascii="Times New Roman" w:hAnsi="Times New Roman" w:eastAsia="方正楷体_GBK" w:cs="Times New Roman"/>
          <w:b w:val="0"/>
          <w:bCs w:val="0"/>
          <w:sz w:val="32"/>
          <w:szCs w:val="32"/>
        </w:rPr>
        <w:t>加强考核评估</w:t>
      </w:r>
      <w:bookmarkEnd w:id="289"/>
      <w:r>
        <w:rPr>
          <w:rFonts w:hint="eastAsia" w:ascii="Times New Roman" w:hAnsi="Times New Roman" w:eastAsia="方正楷体_GBK" w:cs="Times New Roman"/>
          <w:b w:val="0"/>
          <w:bCs w:val="0"/>
          <w:sz w:val="32"/>
          <w:szCs w:val="32"/>
          <w:lang w:eastAsia="zh-CN"/>
        </w:rPr>
        <w:t>。</w:t>
      </w:r>
      <w:r>
        <w:rPr>
          <w:rFonts w:hint="default" w:ascii="Times New Roman" w:hAnsi="Times New Roman" w:eastAsia="方正仿宋_GBK" w:cs="Times New Roman"/>
          <w:b w:val="0"/>
          <w:bCs w:val="0"/>
          <w:sz w:val="32"/>
          <w:szCs w:val="32"/>
        </w:rPr>
        <w:t>建立动态评估机制，对规划的实施进行动态管理和监督，及时跟踪规划目标任务和项目建设进展，加强相关数据统计监测。不定期开展规划实施成效评估分析工作，深入剖析规划实施中出现的问题及原因，及时就规划调整提出政策建议，确保任务有序开展、目标如期实现。</w:t>
      </w:r>
    </w:p>
    <w:p>
      <w:pPr>
        <w:keepNext w:val="0"/>
        <w:keepLines w:val="0"/>
        <w:pageBreakBefore w:val="0"/>
        <w:widowControl/>
        <w:kinsoku/>
        <w:wordWrap/>
        <w:overflowPunct/>
        <w:topLinePunct w:val="0"/>
        <w:autoSpaceDE/>
        <w:autoSpaceDN/>
        <w:bidi w:val="0"/>
        <w:adjustRightInd/>
        <w:snapToGrid/>
        <w:spacing w:line="530" w:lineRule="exact"/>
        <w:jc w:val="left"/>
        <w:textAlignment w:val="auto"/>
        <w:outlineLvl w:val="9"/>
        <w:rPr>
          <w:rFonts w:hint="default" w:ascii="Times New Roman" w:hAnsi="Times New Roman" w:eastAsia="方正黑体_GBK" w:cs="Times New Roman"/>
          <w:b w:val="0"/>
          <w:bCs w:val="0"/>
          <w:sz w:val="32"/>
          <w:szCs w:val="32"/>
        </w:rPr>
      </w:pPr>
    </w:p>
    <w:p>
      <w:pPr>
        <w:keepNext w:val="0"/>
        <w:keepLines w:val="0"/>
        <w:pageBreakBefore w:val="0"/>
        <w:widowControl/>
        <w:kinsoku/>
        <w:wordWrap/>
        <w:overflowPunct/>
        <w:topLinePunct w:val="0"/>
        <w:autoSpaceDE/>
        <w:autoSpaceDN/>
        <w:bidi w:val="0"/>
        <w:adjustRightInd/>
        <w:snapToGrid/>
        <w:spacing w:line="530" w:lineRule="exact"/>
        <w:ind w:firstLine="640" w:firstLineChars="200"/>
        <w:jc w:val="left"/>
        <w:textAlignment w:val="auto"/>
        <w:outlineLvl w:val="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附件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宿迁“443”临港产业新体系发展重点及相关布局一</w:t>
      </w:r>
    </w:p>
    <w:p>
      <w:pPr>
        <w:keepNext w:val="0"/>
        <w:keepLines w:val="0"/>
        <w:pageBreakBefore w:val="0"/>
        <w:widowControl/>
        <w:kinsoku/>
        <w:wordWrap/>
        <w:overflowPunct/>
        <w:topLinePunct w:val="0"/>
        <w:autoSpaceDE/>
        <w:autoSpaceDN/>
        <w:bidi w:val="0"/>
        <w:adjustRightInd/>
        <w:snapToGrid/>
        <w:spacing w:line="530" w:lineRule="exact"/>
        <w:ind w:left="0" w:leftChars="0" w:firstLine="2000" w:firstLineChars="625"/>
        <w:jc w:val="left"/>
        <w:textAlignment w:val="auto"/>
        <w:outlineLvl w:val="0"/>
        <w:rPr>
          <w:rFonts w:hint="eastAsia" w:ascii="方正仿宋_GBK" w:hAnsi="方正仿宋_GBK" w:eastAsia="方正仿宋_GBK" w:cs="方正仿宋_GBK"/>
          <w:b w:val="0"/>
          <w:bCs w:val="0"/>
          <w:sz w:val="32"/>
          <w:szCs w:val="32"/>
        </w:rPr>
      </w:pPr>
      <w:r>
        <w:rPr>
          <w:rFonts w:hint="default" w:ascii="Times New Roman" w:hAnsi="Times New Roman" w:eastAsia="方正仿宋_GBK" w:cs="Times New Roman"/>
          <w:b w:val="0"/>
          <w:bCs w:val="0"/>
          <w:sz w:val="32"/>
          <w:szCs w:val="32"/>
        </w:rPr>
        <w:t>览表</w:t>
      </w:r>
    </w:p>
    <w:p>
      <w:pPr>
        <w:keepNext w:val="0"/>
        <w:keepLines w:val="0"/>
        <w:pageBreakBefore w:val="0"/>
        <w:widowControl/>
        <w:kinsoku/>
        <w:wordWrap/>
        <w:overflowPunct/>
        <w:topLinePunct w:val="0"/>
        <w:autoSpaceDE/>
        <w:autoSpaceDN/>
        <w:bidi w:val="0"/>
        <w:adjustRightInd/>
        <w:snapToGrid/>
        <w:spacing w:line="530" w:lineRule="exact"/>
        <w:ind w:left="0" w:leftChars="0" w:firstLine="1600" w:firstLineChars="500"/>
        <w:jc w:val="left"/>
        <w:textAlignment w:val="auto"/>
        <w:outlineLvl w:val="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lang w:val="en-US" w:eastAsia="zh-CN"/>
        </w:rPr>
        <w:t xml:space="preserve">2. </w:t>
      </w:r>
      <w:r>
        <w:rPr>
          <w:rFonts w:hint="eastAsia" w:ascii="Times New Roman" w:hAnsi="Times New Roman" w:eastAsia="方正仿宋_GBK" w:cs="Times New Roman"/>
          <w:b w:val="0"/>
          <w:bCs w:val="0"/>
          <w:sz w:val="32"/>
          <w:szCs w:val="32"/>
        </w:rPr>
        <w:t>宿迁重点航道流经区县及园区布局发展的重点临</w:t>
      </w:r>
    </w:p>
    <w:p>
      <w:pPr>
        <w:keepNext w:val="0"/>
        <w:keepLines w:val="0"/>
        <w:pageBreakBefore w:val="0"/>
        <w:widowControl/>
        <w:kinsoku/>
        <w:wordWrap/>
        <w:overflowPunct/>
        <w:topLinePunct w:val="0"/>
        <w:autoSpaceDE/>
        <w:autoSpaceDN/>
        <w:bidi w:val="0"/>
        <w:adjustRightInd/>
        <w:snapToGrid/>
        <w:spacing w:line="530" w:lineRule="exact"/>
        <w:ind w:left="0" w:leftChars="0" w:firstLine="2000" w:firstLineChars="625"/>
        <w:jc w:val="left"/>
        <w:textAlignment w:val="auto"/>
        <w:outlineLvl w:val="0"/>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港产业一览表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0"/>
        <w:rPr>
          <w:rFonts w:hint="default" w:ascii="方正仿宋_GBK" w:hAnsi="方正仿宋_GBK" w:eastAsia="方正仿宋_GBK" w:cs="方正仿宋_GBK"/>
          <w:sz w:val="32"/>
          <w:szCs w:val="32"/>
          <w:lang w:val="en-US" w:eastAsia="zh-CN"/>
        </w:rPr>
      </w:pPr>
    </w:p>
    <w:p>
      <w:pPr>
        <w:pStyle w:val="5"/>
        <w:jc w:val="left"/>
        <w:rPr>
          <w:rFonts w:hint="default" w:eastAsia="方正仿宋_GBK"/>
          <w:lang w:val="en-US" w:eastAsia="zh-CN"/>
        </w:rPr>
        <w:sectPr>
          <w:footerReference r:id="rId3" w:type="default"/>
          <w:pgSz w:w="11906" w:h="16838"/>
          <w:pgMar w:top="2098" w:right="1531" w:bottom="1928" w:left="1531" w:header="851" w:footer="1474" w:gutter="0"/>
          <w:pgBorders>
            <w:top w:val="none" w:sz="0" w:space="0"/>
            <w:left w:val="none" w:sz="0" w:space="0"/>
            <w:bottom w:val="none" w:sz="0" w:space="0"/>
            <w:right w:val="none" w:sz="0" w:space="0"/>
          </w:pgBorders>
          <w:pgNumType w:start="1"/>
          <w:cols w:space="0" w:num="1"/>
          <w:rtlGutter w:val="0"/>
          <w:docGrid w:type="lines" w:linePitch="312" w:charSpace="0"/>
        </w:sectPr>
      </w:pPr>
      <w:r>
        <w:rPr>
          <w:rFonts w:hint="eastAsia" w:eastAsia="方正仿宋_GBK"/>
          <w:lang w:val="en-US" w:eastAsia="zh-CN"/>
        </w:rPr>
        <w:t xml:space="preserve"> </w:t>
      </w:r>
    </w:p>
    <w:p>
      <w:pPr>
        <w:keepNext w:val="0"/>
        <w:keepLines w:val="0"/>
        <w:pageBreakBefore w:val="0"/>
        <w:widowControl/>
        <w:kinsoku/>
        <w:wordWrap/>
        <w:overflowPunct/>
        <w:topLinePunct w:val="0"/>
        <w:autoSpaceDE/>
        <w:autoSpaceDN/>
        <w:bidi w:val="0"/>
        <w:adjustRightInd/>
        <w:snapToGrid/>
        <w:jc w:val="left"/>
        <w:textAlignment w:val="auto"/>
        <w:outlineLvl w:val="0"/>
        <w:rPr>
          <w:rFonts w:hint="default" w:ascii="Times New Roman" w:hAnsi="Times New Roman" w:eastAsia="方正仿宋_GBK" w:cs="Times New Roman"/>
          <w:b w:val="0"/>
          <w:bCs w:val="0"/>
          <w:sz w:val="32"/>
          <w:szCs w:val="32"/>
        </w:rPr>
      </w:pPr>
      <w:bookmarkStart w:id="290" w:name="_Toc2499"/>
      <w:r>
        <w:rPr>
          <w:rFonts w:hint="default" w:ascii="Times New Roman" w:hAnsi="Times New Roman" w:eastAsia="方正黑体_GBK" w:cs="Times New Roman"/>
          <w:b w:val="0"/>
          <w:bCs w:val="0"/>
          <w:sz w:val="32"/>
          <w:szCs w:val="32"/>
        </w:rPr>
        <w:t>附件</w:t>
      </w:r>
      <w:r>
        <w:rPr>
          <w:rFonts w:hint="default" w:ascii="Times New Roman" w:hAnsi="Times New Roman" w:eastAsia="方正仿宋_GBK" w:cs="Times New Roman"/>
          <w:b w:val="0"/>
          <w:bCs w:val="0"/>
          <w:sz w:val="32"/>
          <w:szCs w:val="32"/>
        </w:rPr>
        <w:t>1</w:t>
      </w:r>
      <w:bookmarkEnd w:id="29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方正小标宋_GBK" w:hAnsi="方正小标宋_GBK" w:eastAsia="方正小标宋_GBK" w:cs="方正小标宋_GBK"/>
          <w:b w:val="0"/>
          <w:bCs w:val="0"/>
          <w:sz w:val="44"/>
          <w:szCs w:val="44"/>
        </w:rPr>
      </w:pPr>
      <w:bookmarkStart w:id="291" w:name="_Toc28461"/>
      <w:bookmarkStart w:id="292" w:name="_Hlk159340047"/>
      <w:r>
        <w:rPr>
          <w:rFonts w:hint="eastAsia" w:ascii="方正小标宋_GBK" w:hAnsi="方正小标宋_GBK" w:eastAsia="方正小标宋_GBK" w:cs="方正小标宋_GBK"/>
          <w:b w:val="0"/>
          <w:bCs w:val="0"/>
          <w:sz w:val="44"/>
          <w:szCs w:val="44"/>
        </w:rPr>
        <w:t>宿迁“443”临港产业新体系发展重点及相关布局一览表</w:t>
      </w:r>
      <w:bookmarkEnd w:id="291"/>
    </w:p>
    <w:bookmarkEnd w:id="292"/>
    <w:tbl>
      <w:tblPr>
        <w:tblStyle w:val="26"/>
        <w:tblW w:w="5042" w:type="pct"/>
        <w:jc w:val="center"/>
        <w:tblLayout w:type="autofit"/>
        <w:tblCellMar>
          <w:top w:w="0" w:type="dxa"/>
          <w:left w:w="23" w:type="dxa"/>
          <w:bottom w:w="0" w:type="dxa"/>
          <w:right w:w="23" w:type="dxa"/>
        </w:tblCellMar>
      </w:tblPr>
      <w:tblGrid>
        <w:gridCol w:w="1255"/>
        <w:gridCol w:w="913"/>
        <w:gridCol w:w="1116"/>
        <w:gridCol w:w="1317"/>
        <w:gridCol w:w="1164"/>
        <w:gridCol w:w="2730"/>
        <w:gridCol w:w="1328"/>
        <w:gridCol w:w="1874"/>
        <w:gridCol w:w="1009"/>
        <w:gridCol w:w="1416"/>
      </w:tblGrid>
      <w:tr>
        <w:tblPrEx>
          <w:tblCellMar>
            <w:top w:w="0" w:type="dxa"/>
            <w:left w:w="23" w:type="dxa"/>
            <w:bottom w:w="0" w:type="dxa"/>
            <w:right w:w="23" w:type="dxa"/>
          </w:tblCellMar>
        </w:tblPrEx>
        <w:trPr>
          <w:trHeight w:val="242" w:hRule="atLeast"/>
          <w:tblHeader/>
          <w:jc w:val="center"/>
        </w:trPr>
        <w:tc>
          <w:tcPr>
            <w:tcW w:w="44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黑体_GBK" w:cs="Times New Roman"/>
                <w:b w:val="0"/>
                <w:bCs w:val="0"/>
                <w:kern w:val="0"/>
                <w:szCs w:val="21"/>
                <w14:ligatures w14:val="none"/>
              </w:rPr>
            </w:pPr>
            <w:r>
              <w:rPr>
                <w:rFonts w:hint="default" w:ascii="Times New Roman" w:hAnsi="Times New Roman" w:eastAsia="方正黑体_GBK" w:cs="Times New Roman"/>
                <w:b w:val="0"/>
                <w:bCs w:val="0"/>
                <w:kern w:val="0"/>
                <w:szCs w:val="21"/>
                <w14:ligatures w14:val="none"/>
              </w:rPr>
              <w:t>产业类型</w:t>
            </w:r>
          </w:p>
        </w:tc>
        <w:tc>
          <w:tcPr>
            <w:tcW w:w="718" w:type="pct"/>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黑体_GBK" w:cs="Times New Roman"/>
                <w:b w:val="0"/>
                <w:bCs w:val="0"/>
                <w:kern w:val="0"/>
                <w:szCs w:val="21"/>
                <w14:ligatures w14:val="none"/>
              </w:rPr>
            </w:pPr>
            <w:r>
              <w:rPr>
                <w:rFonts w:hint="default" w:ascii="Times New Roman" w:hAnsi="Times New Roman" w:eastAsia="方正黑体_GBK" w:cs="Times New Roman"/>
                <w:b w:val="0"/>
                <w:bCs w:val="0"/>
                <w:kern w:val="0"/>
                <w:szCs w:val="21"/>
                <w14:ligatures w14:val="none"/>
              </w:rPr>
              <w:t>重点产业</w:t>
            </w:r>
          </w:p>
        </w:tc>
        <w:tc>
          <w:tcPr>
            <w:tcW w:w="46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黑体_GBK" w:cs="Times New Roman"/>
                <w:b w:val="0"/>
                <w:bCs w:val="0"/>
                <w:kern w:val="0"/>
                <w:szCs w:val="21"/>
                <w14:ligatures w14:val="none"/>
              </w:rPr>
            </w:pPr>
            <w:r>
              <w:rPr>
                <w:rFonts w:hint="default" w:ascii="Times New Roman" w:hAnsi="Times New Roman" w:eastAsia="方正黑体_GBK" w:cs="Times New Roman"/>
                <w:b w:val="0"/>
                <w:bCs w:val="0"/>
                <w:kern w:val="0"/>
                <w:szCs w:val="21"/>
                <w14:ligatures w14:val="none"/>
              </w:rPr>
              <w:t>重点</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黑体_GBK" w:cs="Times New Roman"/>
                <w:b w:val="0"/>
                <w:bCs w:val="0"/>
                <w:kern w:val="0"/>
                <w:szCs w:val="21"/>
                <w14:ligatures w14:val="none"/>
              </w:rPr>
            </w:pPr>
            <w:r>
              <w:rPr>
                <w:rFonts w:hint="default" w:ascii="Times New Roman" w:hAnsi="Times New Roman" w:eastAsia="方正黑体_GBK" w:cs="Times New Roman"/>
                <w:b w:val="0"/>
                <w:bCs w:val="0"/>
                <w:kern w:val="0"/>
                <w:szCs w:val="21"/>
                <w14:ligatures w14:val="none"/>
              </w:rPr>
              <w:t>依托县区</w:t>
            </w:r>
          </w:p>
        </w:tc>
        <w:tc>
          <w:tcPr>
            <w:tcW w:w="412"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黑体_GBK" w:cs="Times New Roman"/>
                <w:b w:val="0"/>
                <w:bCs w:val="0"/>
                <w:kern w:val="0"/>
                <w:szCs w:val="21"/>
                <w14:ligatures w14:val="none"/>
              </w:rPr>
            </w:pPr>
            <w:r>
              <w:rPr>
                <w:rFonts w:hint="default" w:ascii="Times New Roman" w:hAnsi="Times New Roman" w:eastAsia="方正黑体_GBK" w:cs="Times New Roman"/>
                <w:b w:val="0"/>
                <w:bCs w:val="0"/>
                <w:kern w:val="0"/>
                <w:szCs w:val="21"/>
                <w14:ligatures w14:val="none"/>
              </w:rPr>
              <w:t>园区类型</w:t>
            </w:r>
          </w:p>
        </w:tc>
        <w:tc>
          <w:tcPr>
            <w:tcW w:w="96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黑体_GBK" w:cs="Times New Roman"/>
                <w:b w:val="0"/>
                <w:bCs w:val="0"/>
                <w:kern w:val="0"/>
                <w:szCs w:val="21"/>
                <w:lang w:eastAsia="zh-CN"/>
                <w14:ligatures w14:val="none"/>
              </w:rPr>
            </w:pPr>
            <w:r>
              <w:rPr>
                <w:rFonts w:hint="default" w:ascii="Times New Roman" w:hAnsi="Times New Roman" w:eastAsia="方正黑体_GBK" w:cs="Times New Roman"/>
                <w:b w:val="0"/>
                <w:bCs w:val="0"/>
                <w:kern w:val="0"/>
                <w:szCs w:val="21"/>
                <w14:ligatures w14:val="none"/>
              </w:rPr>
              <w:t>对应依托园区</w:t>
            </w:r>
          </w:p>
        </w:tc>
        <w:tc>
          <w:tcPr>
            <w:tcW w:w="470"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黑体_GBK" w:cs="Times New Roman"/>
                <w:b w:val="0"/>
                <w:bCs w:val="0"/>
                <w:kern w:val="0"/>
                <w:szCs w:val="21"/>
                <w14:ligatures w14:val="none"/>
              </w:rPr>
            </w:pPr>
            <w:r>
              <w:rPr>
                <w:rFonts w:hint="default" w:ascii="Times New Roman" w:hAnsi="Times New Roman" w:eastAsia="方正黑体_GBK" w:cs="Times New Roman"/>
                <w:b w:val="0"/>
                <w:bCs w:val="0"/>
                <w:kern w:val="0"/>
                <w:szCs w:val="21"/>
                <w14:ligatures w14:val="none"/>
              </w:rPr>
              <w:t>规划工业</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黑体_GBK" w:cs="Times New Roman"/>
                <w:b w:val="0"/>
                <w:bCs w:val="0"/>
                <w:kern w:val="0"/>
                <w:szCs w:val="21"/>
                <w14:ligatures w14:val="none"/>
              </w:rPr>
            </w:pPr>
            <w:r>
              <w:rPr>
                <w:rFonts w:hint="default" w:ascii="Times New Roman" w:hAnsi="Times New Roman" w:eastAsia="方正黑体_GBK" w:cs="Times New Roman"/>
                <w:b w:val="0"/>
                <w:bCs w:val="0"/>
                <w:kern w:val="0"/>
                <w:szCs w:val="21"/>
                <w14:ligatures w14:val="none"/>
              </w:rPr>
              <w:t>用地面积（亩）</w:t>
            </w:r>
          </w:p>
        </w:tc>
        <w:tc>
          <w:tcPr>
            <w:tcW w:w="66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黑体_GBK" w:cs="Times New Roman"/>
                <w:b w:val="0"/>
                <w:bCs w:val="0"/>
                <w:kern w:val="0"/>
                <w:szCs w:val="21"/>
                <w14:ligatures w14:val="none"/>
              </w:rPr>
            </w:pPr>
            <w:r>
              <w:rPr>
                <w:rFonts w:hint="default" w:ascii="Times New Roman" w:hAnsi="Times New Roman" w:eastAsia="方正黑体_GBK" w:cs="Times New Roman"/>
                <w:b w:val="0"/>
                <w:bCs w:val="0"/>
                <w:kern w:val="0"/>
                <w:szCs w:val="21"/>
                <w14:ligatures w14:val="none"/>
              </w:rPr>
              <w:t>园区主要依托岸线</w:t>
            </w:r>
          </w:p>
        </w:tc>
        <w:tc>
          <w:tcPr>
            <w:tcW w:w="35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方正黑体_GBK" w:cs="Times New Roman"/>
                <w:b w:val="0"/>
                <w:bCs w:val="0"/>
                <w:kern w:val="0"/>
                <w:szCs w:val="21"/>
                <w:lang w:eastAsia="zh-CN"/>
                <w14:ligatures w14:val="none"/>
              </w:rPr>
            </w:pPr>
            <w:r>
              <w:rPr>
                <w:rFonts w:hint="default" w:ascii="Times New Roman" w:hAnsi="Times New Roman" w:eastAsia="方正黑体_GBK" w:cs="Times New Roman"/>
                <w:b w:val="0"/>
                <w:bCs w:val="0"/>
                <w:kern w:val="0"/>
                <w:szCs w:val="21"/>
                <w14:ligatures w14:val="none"/>
              </w:rPr>
              <w:t>岸线长度</w:t>
            </w:r>
            <w:r>
              <w:rPr>
                <w:rFonts w:hint="eastAsia" w:ascii="Times New Roman" w:hAnsi="Times New Roman" w:eastAsia="方正黑体_GBK" w:cs="Times New Roman"/>
                <w:b w:val="0"/>
                <w:bCs w:val="0"/>
                <w:kern w:val="0"/>
                <w:szCs w:val="21"/>
                <w:lang w:eastAsia="zh-CN"/>
                <w14:ligatures w14:val="none"/>
              </w:rPr>
              <w:t>（米）</w:t>
            </w:r>
          </w:p>
        </w:tc>
        <w:tc>
          <w:tcPr>
            <w:tcW w:w="501"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黑体_GBK" w:cs="Times New Roman"/>
                <w:b w:val="0"/>
                <w:bCs w:val="0"/>
                <w:kern w:val="0"/>
                <w:szCs w:val="21"/>
                <w14:ligatures w14:val="none"/>
              </w:rPr>
            </w:pPr>
            <w:r>
              <w:rPr>
                <w:rFonts w:hint="default" w:ascii="Times New Roman" w:hAnsi="Times New Roman" w:eastAsia="方正黑体_GBK" w:cs="Times New Roman"/>
                <w:b w:val="0"/>
                <w:bCs w:val="0"/>
                <w:kern w:val="0"/>
                <w:szCs w:val="21"/>
                <w14:ligatures w14:val="none"/>
              </w:rPr>
              <w:t>岸线所属航道</w:t>
            </w:r>
          </w:p>
        </w:tc>
      </w:tr>
      <w:tr>
        <w:tblPrEx>
          <w:tblCellMar>
            <w:top w:w="0" w:type="dxa"/>
            <w:left w:w="23" w:type="dxa"/>
            <w:bottom w:w="0" w:type="dxa"/>
            <w:right w:w="23" w:type="dxa"/>
          </w:tblCellMar>
        </w:tblPrEx>
        <w:trPr>
          <w:trHeight w:val="340" w:hRule="atLeast"/>
          <w:tblHeader/>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方正黑体_GBK" w:cs="Times New Roman"/>
                <w:b w:val="0"/>
                <w:bCs w:val="0"/>
                <w:kern w:val="0"/>
                <w:szCs w:val="21"/>
                <w14:ligatures w14:val="none"/>
              </w:rPr>
            </w:pPr>
          </w:p>
        </w:tc>
        <w:tc>
          <w:tcPr>
            <w:tcW w:w="32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黑体_GBK" w:cs="Times New Roman"/>
                <w:b w:val="0"/>
                <w:bCs w:val="0"/>
                <w:kern w:val="0"/>
                <w:szCs w:val="21"/>
                <w14:ligatures w14:val="none"/>
              </w:rPr>
            </w:pPr>
            <w:r>
              <w:rPr>
                <w:rFonts w:hint="default" w:ascii="Times New Roman" w:hAnsi="Times New Roman" w:eastAsia="方正黑体_GBK" w:cs="Times New Roman"/>
                <w:b w:val="0"/>
                <w:bCs w:val="0"/>
                <w:kern w:val="0"/>
                <w:szCs w:val="21"/>
                <w14:ligatures w14:val="none"/>
              </w:rPr>
              <w:t>产业名称</w:t>
            </w:r>
          </w:p>
        </w:tc>
        <w:tc>
          <w:tcPr>
            <w:tcW w:w="39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方正黑体_GBK" w:cs="Times New Roman"/>
                <w:b w:val="0"/>
                <w:bCs w:val="0"/>
                <w:spacing w:val="-10"/>
                <w:kern w:val="0"/>
                <w:szCs w:val="21"/>
                <w:lang w:eastAsia="zh-CN"/>
                <w14:ligatures w14:val="none"/>
              </w:rPr>
            </w:pPr>
            <w:r>
              <w:rPr>
                <w:rFonts w:hint="default" w:ascii="Times New Roman" w:hAnsi="Times New Roman" w:eastAsia="方正黑体_GBK" w:cs="Times New Roman"/>
                <w:b w:val="0"/>
                <w:bCs w:val="0"/>
                <w:spacing w:val="-10"/>
                <w:kern w:val="0"/>
                <w:szCs w:val="21"/>
                <w14:ligatures w14:val="none"/>
              </w:rPr>
              <w:t>2025年目标</w:t>
            </w:r>
            <w:r>
              <w:rPr>
                <w:rFonts w:hint="eastAsia" w:ascii="Times New Roman" w:hAnsi="Times New Roman" w:eastAsia="方正黑体_GBK" w:cs="Times New Roman"/>
                <w:b w:val="0"/>
                <w:bCs w:val="0"/>
                <w:spacing w:val="-10"/>
                <w:kern w:val="0"/>
                <w:szCs w:val="21"/>
                <w:lang w:eastAsia="zh-CN"/>
                <w14:ligatures w14:val="none"/>
              </w:rPr>
              <w:t>（亿元）</w:t>
            </w:r>
          </w:p>
        </w:tc>
        <w:tc>
          <w:tcPr>
            <w:tcW w:w="466" w:type="pct"/>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方正黑体_GBK" w:cs="Times New Roman"/>
                <w:b w:val="0"/>
                <w:bCs w:val="0"/>
                <w:kern w:val="0"/>
                <w:szCs w:val="21"/>
                <w14:ligatures w14:val="none"/>
              </w:rPr>
            </w:pPr>
          </w:p>
        </w:tc>
        <w:tc>
          <w:tcPr>
            <w:tcW w:w="412"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方正黑体_GBK" w:cs="Times New Roman"/>
                <w:b w:val="0"/>
                <w:bCs w:val="0"/>
                <w:kern w:val="0"/>
                <w:szCs w:val="21"/>
                <w14:ligatures w14:val="none"/>
              </w:rPr>
            </w:pPr>
          </w:p>
        </w:tc>
        <w:tc>
          <w:tcPr>
            <w:tcW w:w="966"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方正黑体_GBK" w:cs="Times New Roman"/>
                <w:b w:val="0"/>
                <w:bCs w:val="0"/>
                <w:kern w:val="0"/>
                <w:szCs w:val="21"/>
                <w14:ligatures w14:val="none"/>
              </w:rPr>
            </w:pPr>
          </w:p>
        </w:tc>
        <w:tc>
          <w:tcPr>
            <w:tcW w:w="470"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方正黑体_GBK" w:cs="Times New Roman"/>
                <w:b w:val="0"/>
                <w:bCs w:val="0"/>
                <w:kern w:val="0"/>
                <w:szCs w:val="21"/>
                <w14:ligatures w14:val="none"/>
              </w:rPr>
            </w:pPr>
          </w:p>
        </w:tc>
        <w:tc>
          <w:tcPr>
            <w:tcW w:w="663"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方正黑体_GBK" w:cs="Times New Roman"/>
                <w:b w:val="0"/>
                <w:bCs w:val="0"/>
                <w:kern w:val="0"/>
                <w:szCs w:val="21"/>
                <w14:ligatures w14:val="none"/>
              </w:rPr>
            </w:pPr>
          </w:p>
        </w:tc>
        <w:tc>
          <w:tcPr>
            <w:tcW w:w="357"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方正黑体_GBK" w:cs="Times New Roman"/>
                <w:b w:val="0"/>
                <w:bCs w:val="0"/>
                <w:kern w:val="0"/>
                <w:szCs w:val="21"/>
                <w14:ligatures w14:val="none"/>
              </w:rPr>
            </w:pPr>
          </w:p>
        </w:tc>
        <w:tc>
          <w:tcPr>
            <w:tcW w:w="501"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方正黑体_GBK" w:cs="Times New Roman"/>
                <w:b w:val="0"/>
                <w:bCs w:val="0"/>
                <w:kern w:val="0"/>
                <w:szCs w:val="21"/>
                <w14:ligatures w14:val="none"/>
              </w:rPr>
            </w:pPr>
          </w:p>
        </w:tc>
      </w:tr>
      <w:tr>
        <w:tblPrEx>
          <w:tblCellMar>
            <w:top w:w="0" w:type="dxa"/>
            <w:left w:w="23" w:type="dxa"/>
            <w:bottom w:w="0" w:type="dxa"/>
            <w:right w:w="23" w:type="dxa"/>
          </w:tblCellMar>
        </w:tblPrEx>
        <w:trPr>
          <w:trHeight w:val="370" w:hRule="atLeast"/>
          <w:jc w:val="center"/>
        </w:trPr>
        <w:tc>
          <w:tcPr>
            <w:tcW w:w="444" w:type="pct"/>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r>
              <w:rPr>
                <w:rFonts w:hint="default" w:ascii="Times New Roman" w:hAnsi="Times New Roman" w:eastAsia="方正仿宋_GBK" w:cs="Times New Roman"/>
                <w:b w:val="0"/>
                <w:bCs w:val="0"/>
                <w:spacing w:val="-20"/>
                <w:kern w:val="0"/>
                <w:szCs w:val="21"/>
                <w14:ligatures w14:val="none"/>
              </w:rPr>
              <w:t>发展壮大</w:t>
            </w:r>
            <w:r>
              <w:rPr>
                <w:rFonts w:hint="default" w:ascii="Times New Roman" w:hAnsi="Times New Roman" w:eastAsia="方正仿宋_GBK" w:cs="Times New Roman"/>
                <w:b w:val="0"/>
                <w:bCs w:val="0"/>
                <w:spacing w:val="-20"/>
                <w:kern w:val="0"/>
                <w:szCs w:val="21"/>
                <w14:ligatures w14:val="none"/>
              </w:rPr>
              <w:br w:type="textWrapping"/>
            </w:r>
            <w:r>
              <w:rPr>
                <w:rFonts w:hint="default" w:ascii="Times New Roman" w:hAnsi="Times New Roman" w:eastAsia="方正仿宋_GBK" w:cs="Times New Roman"/>
                <w:b w:val="0"/>
                <w:bCs w:val="0"/>
                <w:spacing w:val="-20"/>
                <w:kern w:val="0"/>
                <w:szCs w:val="21"/>
                <w14:ligatures w14:val="none"/>
              </w:rPr>
              <w:t>新兴临港产业</w:t>
            </w:r>
          </w:p>
        </w:tc>
        <w:tc>
          <w:tcPr>
            <w:tcW w:w="323"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新能源</w:t>
            </w:r>
          </w:p>
        </w:tc>
        <w:tc>
          <w:tcPr>
            <w:tcW w:w="395"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lang w:val="en-US" w:eastAsia="zh-CN"/>
                <w14:ligatures w14:val="none"/>
              </w:rPr>
            </w:pPr>
            <w:r>
              <w:rPr>
                <w:rFonts w:hint="default" w:ascii="Times New Roman" w:hAnsi="Times New Roman" w:eastAsia="等线" w:cs="Times New Roman"/>
                <w:b w:val="0"/>
                <w:bCs w:val="0"/>
                <w:kern w:val="0"/>
                <w:szCs w:val="21"/>
                <w:lang w:val="en-US" w:eastAsia="zh-CN"/>
                <w14:ligatures w14:val="none"/>
              </w:rPr>
              <w:t>1200</w:t>
            </w:r>
          </w:p>
        </w:tc>
        <w:tc>
          <w:tcPr>
            <w:tcW w:w="466"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泗洪县</w:t>
            </w:r>
          </w:p>
        </w:tc>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spacing w:val="0"/>
                <w:kern w:val="0"/>
                <w:sz w:val="21"/>
                <w:szCs w:val="21"/>
                <w14:ligatures w14:val="none"/>
              </w:rPr>
            </w:pPr>
            <w:bookmarkStart w:id="293" w:name="RANGE!F6"/>
            <w:r>
              <w:rPr>
                <w:rFonts w:hint="default" w:ascii="Times New Roman" w:hAnsi="Times New Roman" w:eastAsia="方正仿宋_GBK" w:cs="Times New Roman"/>
                <w:b w:val="0"/>
                <w:bCs w:val="0"/>
                <w:color w:val="000000"/>
                <w:spacing w:val="0"/>
                <w:kern w:val="0"/>
                <w:sz w:val="21"/>
                <w:szCs w:val="21"/>
                <w14:ligatures w14:val="none"/>
              </w:rPr>
              <w:t>泗洪经济开发区</w:t>
            </w:r>
            <w:bookmarkEnd w:id="293"/>
          </w:p>
        </w:tc>
        <w:tc>
          <w:tcPr>
            <w:tcW w:w="4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42136.65</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城东作业区岸线</w:t>
            </w:r>
          </w:p>
        </w:tc>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lang w:val="zh-CN"/>
                <w14:ligatures w14:val="none"/>
              </w:rPr>
              <w:t>1060</w:t>
            </w:r>
          </w:p>
        </w:tc>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洪泽湖西线</w:t>
            </w:r>
          </w:p>
        </w:tc>
      </w:tr>
      <w:tr>
        <w:tblPrEx>
          <w:tblCellMar>
            <w:top w:w="0" w:type="dxa"/>
            <w:left w:w="23" w:type="dxa"/>
            <w:bottom w:w="0" w:type="dxa"/>
            <w:right w:w="23" w:type="dxa"/>
          </w:tblCellMar>
        </w:tblPrEx>
        <w:trPr>
          <w:trHeight w:val="389"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常熟泗洪工业园</w:t>
            </w:r>
          </w:p>
        </w:tc>
        <w:tc>
          <w:tcPr>
            <w:tcW w:w="47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663"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城东作业区岸线</w:t>
            </w:r>
          </w:p>
        </w:tc>
        <w:tc>
          <w:tcPr>
            <w:tcW w:w="357"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lang w:val="zh-CN"/>
                <w14:ligatures w14:val="none"/>
              </w:rPr>
              <w:t>1060</w:t>
            </w:r>
          </w:p>
        </w:tc>
        <w:tc>
          <w:tcPr>
            <w:tcW w:w="50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洪泽湖西线</w:t>
            </w:r>
          </w:p>
        </w:tc>
      </w:tr>
      <w:tr>
        <w:tblPrEx>
          <w:tblCellMar>
            <w:top w:w="0" w:type="dxa"/>
            <w:left w:w="23" w:type="dxa"/>
            <w:bottom w:w="0" w:type="dxa"/>
            <w:right w:w="23" w:type="dxa"/>
          </w:tblCellMar>
        </w:tblPrEx>
        <w:trPr>
          <w:trHeight w:val="389"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宿豫区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0"/>
                <w:kern w:val="0"/>
                <w:sz w:val="21"/>
                <w:szCs w:val="21"/>
                <w14:ligatures w14:val="none"/>
              </w:rPr>
            </w:pPr>
            <w:r>
              <w:rPr>
                <w:rFonts w:hint="default" w:ascii="Times New Roman" w:hAnsi="Times New Roman" w:eastAsia="方正仿宋_GBK" w:cs="Times New Roman"/>
                <w:b w:val="0"/>
                <w:bCs w:val="0"/>
                <w:color w:val="000000"/>
                <w:spacing w:val="0"/>
                <w:kern w:val="0"/>
                <w:sz w:val="21"/>
                <w:szCs w:val="21"/>
                <w14:ligatures w14:val="none"/>
              </w:rPr>
              <w:t>宿迁高新技术产业开发区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color w:val="000000"/>
                <w:kern w:val="0"/>
                <w:szCs w:val="21"/>
                <w14:ligatures w14:val="none"/>
              </w:rPr>
              <w:t>21722.85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宿豫北岸线、宿豫南岸线、陆墩岸线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lang w:val="zh-CN"/>
                <w14:ligatures w14:val="none"/>
              </w:rPr>
            </w:pPr>
            <w:r>
              <w:rPr>
                <w:rFonts w:hint="default" w:ascii="Times New Roman" w:hAnsi="Times New Roman" w:eastAsia="等线" w:cs="Times New Roman"/>
                <w:b w:val="0"/>
                <w:bCs w:val="0"/>
                <w:color w:val="000000"/>
                <w:kern w:val="0"/>
                <w:szCs w:val="21"/>
                <w14:ligatures w14:val="none"/>
              </w:rPr>
              <w:t>4520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京杭运河</w:t>
            </w:r>
          </w:p>
        </w:tc>
      </w:tr>
      <w:tr>
        <w:tblPrEx>
          <w:tblCellMar>
            <w:top w:w="0" w:type="dxa"/>
            <w:left w:w="23" w:type="dxa"/>
            <w:bottom w:w="0" w:type="dxa"/>
            <w:right w:w="23" w:type="dxa"/>
          </w:tblCellMar>
        </w:tblPrEx>
        <w:trPr>
          <w:trHeight w:val="389"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宿城区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运河宿迁港产业园</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（含恒力时尚产业园）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16432.95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宿迁中心港岸线、张圩干渠岸线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lang w:val="zh-CN"/>
                <w14:ligatures w14:val="none"/>
              </w:rPr>
            </w:pPr>
            <w:r>
              <w:rPr>
                <w:rFonts w:hint="default" w:ascii="Times New Roman" w:hAnsi="Times New Roman" w:eastAsia="等线" w:cs="Times New Roman"/>
                <w:b w:val="0"/>
                <w:bCs w:val="0"/>
                <w:kern w:val="0"/>
                <w:szCs w:val="21"/>
                <w14:ligatures w14:val="none"/>
              </w:rPr>
              <w:t>7502</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京杭运河、</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张涧线</w:t>
            </w:r>
          </w:p>
        </w:tc>
      </w:tr>
      <w:tr>
        <w:tblPrEx>
          <w:tblCellMar>
            <w:top w:w="0" w:type="dxa"/>
            <w:left w:w="23" w:type="dxa"/>
            <w:bottom w:w="0" w:type="dxa"/>
            <w:right w:w="23" w:type="dxa"/>
          </w:tblCellMar>
        </w:tblPrEx>
        <w:trPr>
          <w:trHeight w:val="339"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宿迁经开区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宿迁经济技术开发区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34024.35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等线" w:cs="Times New Roman"/>
                <w:b w:val="0"/>
                <w:bCs w:val="0"/>
                <w:kern w:val="0"/>
                <w:szCs w:val="21"/>
                <w14:ligatures w14:val="none"/>
              </w:rPr>
              <w:t>——</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lang w:val="zh-CN"/>
                <w14:ligatures w14:val="none"/>
              </w:rPr>
            </w:pPr>
            <w:r>
              <w:rPr>
                <w:rFonts w:hint="default" w:ascii="Times New Roman" w:hAnsi="Times New Roman" w:eastAsia="等线" w:cs="Times New Roman"/>
                <w:b w:val="0"/>
                <w:bCs w:val="0"/>
                <w:kern w:val="0"/>
                <w:szCs w:val="21"/>
                <w14:ligatures w14:val="none"/>
              </w:rPr>
              <w:t>——</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等线" w:cs="Times New Roman"/>
                <w:b w:val="0"/>
                <w:bCs w:val="0"/>
                <w:kern w:val="0"/>
                <w:szCs w:val="21"/>
                <w14:ligatures w14:val="none"/>
              </w:rPr>
              <w:t>——</w:t>
            </w:r>
          </w:p>
        </w:tc>
      </w:tr>
      <w:tr>
        <w:tblPrEx>
          <w:tblCellMar>
            <w:top w:w="0" w:type="dxa"/>
            <w:left w:w="23" w:type="dxa"/>
            <w:bottom w:w="0" w:type="dxa"/>
            <w:right w:w="23" w:type="dxa"/>
          </w:tblCellMar>
        </w:tblPrEx>
        <w:trPr>
          <w:trHeight w:val="337"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lang w:eastAsia="zh-CN"/>
                <w14:ligatures w14:val="none"/>
              </w:rPr>
              <w:t>苏宿工业园区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苏州宿迁工业园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18281.1</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r>
      <w:tr>
        <w:tblPrEx>
          <w:tblCellMar>
            <w:top w:w="0" w:type="dxa"/>
            <w:left w:w="23" w:type="dxa"/>
            <w:bottom w:w="0" w:type="dxa"/>
            <w:right w:w="23" w:type="dxa"/>
          </w:tblCellMar>
        </w:tblPrEx>
        <w:trPr>
          <w:trHeight w:val="264"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新材料</w:t>
            </w:r>
          </w:p>
        </w:tc>
        <w:tc>
          <w:tcPr>
            <w:tcW w:w="395"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500</w:t>
            </w:r>
          </w:p>
        </w:tc>
        <w:tc>
          <w:tcPr>
            <w:tcW w:w="4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沭阳县</w:t>
            </w:r>
          </w:p>
        </w:tc>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昆沭高新技术产业园</w:t>
            </w:r>
          </w:p>
        </w:tc>
        <w:tc>
          <w:tcPr>
            <w:tcW w:w="4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沭城岸线</w:t>
            </w:r>
          </w:p>
        </w:tc>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1400</w:t>
            </w:r>
          </w:p>
        </w:tc>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淮沭新河</w:t>
            </w:r>
          </w:p>
        </w:tc>
      </w:tr>
      <w:tr>
        <w:tblPrEx>
          <w:tblCellMar>
            <w:top w:w="0" w:type="dxa"/>
            <w:left w:w="23" w:type="dxa"/>
            <w:bottom w:w="0" w:type="dxa"/>
            <w:right w:w="23" w:type="dxa"/>
          </w:tblCellMar>
        </w:tblPrEx>
        <w:trPr>
          <w:trHeight w:val="308"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泗洪县</w:t>
            </w:r>
          </w:p>
        </w:tc>
        <w:tc>
          <w:tcPr>
            <w:tcW w:w="41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朱湖临港产业园</w:t>
            </w:r>
          </w:p>
        </w:tc>
        <w:tc>
          <w:tcPr>
            <w:tcW w:w="47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722.25</w:t>
            </w:r>
          </w:p>
        </w:tc>
        <w:tc>
          <w:tcPr>
            <w:tcW w:w="663"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朱湖岸线</w:t>
            </w:r>
          </w:p>
        </w:tc>
        <w:tc>
          <w:tcPr>
            <w:tcW w:w="35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2000</w:t>
            </w:r>
          </w:p>
        </w:tc>
        <w:tc>
          <w:tcPr>
            <w:tcW w:w="50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徐洪河</w:t>
            </w:r>
          </w:p>
        </w:tc>
      </w:tr>
      <w:tr>
        <w:tblPrEx>
          <w:tblCellMar>
            <w:top w:w="0" w:type="dxa"/>
            <w:left w:w="23" w:type="dxa"/>
            <w:bottom w:w="0" w:type="dxa"/>
            <w:right w:w="23" w:type="dxa"/>
          </w:tblCellMar>
        </w:tblPrEx>
        <w:trPr>
          <w:trHeight w:val="360"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泗洪经济开发区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42136.65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城东作业区岸线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lang w:val="zh-CN"/>
                <w14:ligatures w14:val="none"/>
              </w:rPr>
              <w:t>1060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洪泽湖西线</w:t>
            </w:r>
          </w:p>
        </w:tc>
      </w:tr>
      <w:tr>
        <w:tblPrEx>
          <w:tblCellMar>
            <w:top w:w="0" w:type="dxa"/>
            <w:left w:w="23" w:type="dxa"/>
            <w:bottom w:w="0" w:type="dxa"/>
            <w:right w:w="23" w:type="dxa"/>
          </w:tblCellMar>
        </w:tblPrEx>
        <w:trPr>
          <w:trHeight w:val="251"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常熟泗洪工业园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城东作业区岸线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lang w:val="zh-CN"/>
                <w14:ligatures w14:val="none"/>
              </w:rPr>
              <w:t>1060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洪泽湖西线</w:t>
            </w:r>
          </w:p>
        </w:tc>
      </w:tr>
      <w:tr>
        <w:tblPrEx>
          <w:tblCellMar>
            <w:top w:w="0" w:type="dxa"/>
            <w:left w:w="23" w:type="dxa"/>
            <w:bottom w:w="0" w:type="dxa"/>
            <w:right w:w="23" w:type="dxa"/>
          </w:tblCellMar>
        </w:tblPrEx>
        <w:trPr>
          <w:trHeight w:val="294"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梅花镇工业集中区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1467.6</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归仁岸线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lang w:val="zh-CN"/>
                <w14:ligatures w14:val="none"/>
              </w:rPr>
              <w:t>500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徐洪河</w:t>
            </w:r>
          </w:p>
        </w:tc>
      </w:tr>
      <w:tr>
        <w:tblPrEx>
          <w:tblCellMar>
            <w:top w:w="0" w:type="dxa"/>
            <w:left w:w="23" w:type="dxa"/>
            <w:bottom w:w="0" w:type="dxa"/>
            <w:right w:w="23" w:type="dxa"/>
          </w:tblCellMar>
        </w:tblPrEx>
        <w:trPr>
          <w:trHeight w:val="389"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宿豫区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spacing w:val="-12"/>
                <w:kern w:val="0"/>
                <w:szCs w:val="21"/>
                <w14:ligatures w14:val="none"/>
              </w:rPr>
              <w:t>宿迁高新技术产业开发区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21722.85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宿豫北岸线、宿豫南岸线、陆墩岸线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lang w:val="zh-CN"/>
                <w14:ligatures w14:val="none"/>
              </w:rPr>
            </w:pPr>
            <w:r>
              <w:rPr>
                <w:rFonts w:hint="default" w:ascii="Times New Roman" w:hAnsi="Times New Roman" w:eastAsia="等线" w:cs="Times New Roman"/>
                <w:b w:val="0"/>
                <w:bCs w:val="0"/>
                <w:color w:val="000000"/>
                <w:kern w:val="0"/>
                <w:szCs w:val="21"/>
                <w14:ligatures w14:val="none"/>
              </w:rPr>
              <w:t>4520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京杭运河</w:t>
            </w:r>
          </w:p>
        </w:tc>
      </w:tr>
      <w:tr>
        <w:tblPrEx>
          <w:tblCellMar>
            <w:top w:w="0" w:type="dxa"/>
            <w:left w:w="23" w:type="dxa"/>
            <w:bottom w:w="0" w:type="dxa"/>
            <w:right w:w="23" w:type="dxa"/>
          </w:tblCellMar>
        </w:tblPrEx>
        <w:trPr>
          <w:trHeight w:val="389"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生态化工科技产业园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10062.6</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来龙岸线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lang w:val="zh-CN"/>
                <w14:ligatures w14:val="none"/>
              </w:rPr>
            </w:pPr>
            <w:r>
              <w:rPr>
                <w:rFonts w:hint="default" w:ascii="Times New Roman" w:hAnsi="Times New Roman" w:eastAsia="等线" w:cs="Times New Roman"/>
                <w:b w:val="0"/>
                <w:bCs w:val="0"/>
                <w:color w:val="000000"/>
                <w:kern w:val="0"/>
                <w:szCs w:val="21"/>
                <w14:ligatures w14:val="none"/>
              </w:rPr>
              <w:t>2100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宿连航道</w:t>
            </w:r>
          </w:p>
        </w:tc>
      </w:tr>
      <w:tr>
        <w:tblPrEx>
          <w:tblCellMar>
            <w:top w:w="0" w:type="dxa"/>
            <w:left w:w="23" w:type="dxa"/>
            <w:bottom w:w="0" w:type="dxa"/>
            <w:right w:w="23" w:type="dxa"/>
          </w:tblCellMar>
        </w:tblPrEx>
        <w:trPr>
          <w:trHeight w:val="389"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陆集临港产业园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3120.15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陆集港岸线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lang w:val="zh-CN"/>
                <w14:ligatures w14:val="none"/>
              </w:rPr>
            </w:pPr>
            <w:r>
              <w:rPr>
                <w:rFonts w:hint="default" w:ascii="Times New Roman" w:hAnsi="Times New Roman" w:eastAsia="等线" w:cs="Times New Roman"/>
                <w:b w:val="0"/>
                <w:bCs w:val="0"/>
                <w:color w:val="000000"/>
                <w:kern w:val="0"/>
                <w:szCs w:val="21"/>
                <w14:ligatures w14:val="none"/>
              </w:rPr>
              <w:t>3200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宿连航道</w:t>
            </w:r>
          </w:p>
        </w:tc>
      </w:tr>
      <w:tr>
        <w:tblPrEx>
          <w:tblCellMar>
            <w:top w:w="0" w:type="dxa"/>
            <w:left w:w="23" w:type="dxa"/>
            <w:bottom w:w="0" w:type="dxa"/>
            <w:right w:w="23" w:type="dxa"/>
          </w:tblCellMar>
        </w:tblPrEx>
        <w:trPr>
          <w:trHeight w:val="389"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来龙工业园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2300.55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来龙岸线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lang w:val="zh-CN"/>
                <w14:ligatures w14:val="none"/>
              </w:rPr>
            </w:pPr>
            <w:r>
              <w:rPr>
                <w:rFonts w:hint="default" w:ascii="Times New Roman" w:hAnsi="Times New Roman" w:eastAsia="等线" w:cs="Times New Roman"/>
                <w:b w:val="0"/>
                <w:bCs w:val="0"/>
                <w:color w:val="000000"/>
                <w:kern w:val="0"/>
                <w:szCs w:val="21"/>
                <w14:ligatures w14:val="none"/>
              </w:rPr>
              <w:t>2100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宿连航道</w:t>
            </w:r>
          </w:p>
        </w:tc>
      </w:tr>
      <w:tr>
        <w:tblPrEx>
          <w:tblCellMar>
            <w:top w:w="0" w:type="dxa"/>
            <w:left w:w="23" w:type="dxa"/>
            <w:bottom w:w="0" w:type="dxa"/>
            <w:right w:w="23" w:type="dxa"/>
          </w:tblCellMar>
        </w:tblPrEx>
        <w:trPr>
          <w:trHeight w:val="389"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restart"/>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宿城区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运河宿迁港产业园</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spacing w:val="0"/>
                <w:kern w:val="0"/>
                <w:sz w:val="21"/>
                <w:szCs w:val="21"/>
                <w14:ligatures w14:val="none"/>
              </w:rPr>
              <w:t>（含恒力时尚产业园）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kern w:val="0"/>
                <w:szCs w:val="21"/>
                <w14:ligatures w14:val="none"/>
              </w:rPr>
              <w:t>16432.95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宿迁中心港岸线、张圩干渠岸线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kern w:val="0"/>
                <w:szCs w:val="21"/>
                <w14:ligatures w14:val="none"/>
              </w:rPr>
              <w:t>7502</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京杭运河、</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张涧线</w:t>
            </w:r>
          </w:p>
        </w:tc>
      </w:tr>
      <w:tr>
        <w:tblPrEx>
          <w:tblCellMar>
            <w:top w:w="0" w:type="dxa"/>
            <w:left w:w="23" w:type="dxa"/>
            <w:bottom w:w="0" w:type="dxa"/>
            <w:right w:w="23" w:type="dxa"/>
          </w:tblCellMar>
        </w:tblPrEx>
        <w:trPr>
          <w:trHeight w:val="389"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宿城经济开发区</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spacing w:val="0"/>
                <w:kern w:val="0"/>
                <w:sz w:val="21"/>
                <w:szCs w:val="21"/>
                <w14:ligatures w14:val="none"/>
              </w:rPr>
              <w:t>（南片区，含恒力工业园）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kern w:val="0"/>
                <w:szCs w:val="21"/>
                <w14:ligatures w14:val="none"/>
              </w:rPr>
              <w:t>6468.9</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恒力工业园岸线、粮食码头岸线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850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京杭运河</w:t>
            </w:r>
          </w:p>
        </w:tc>
      </w:tr>
      <w:tr>
        <w:tblPrEx>
          <w:tblCellMar>
            <w:top w:w="0" w:type="dxa"/>
            <w:left w:w="23" w:type="dxa"/>
            <w:bottom w:w="0" w:type="dxa"/>
            <w:right w:w="23" w:type="dxa"/>
          </w:tblCellMar>
        </w:tblPrEx>
        <w:trPr>
          <w:trHeight w:val="498"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方正仿宋_GBK" w:cs="Times New Roman"/>
                <w:b w:val="0"/>
                <w:bCs w:val="0"/>
                <w:color w:val="000000"/>
                <w:kern w:val="0"/>
                <w:szCs w:val="21"/>
                <w:lang w:eastAsia="zh-CN"/>
                <w14:ligatures w14:val="none"/>
              </w:rPr>
            </w:pPr>
            <w:r>
              <w:rPr>
                <w:rFonts w:hint="eastAsia" w:ascii="Times New Roman" w:hAnsi="Times New Roman" w:eastAsia="方正仿宋_GBK" w:cs="Times New Roman"/>
                <w:b w:val="0"/>
                <w:bCs w:val="0"/>
                <w:color w:val="000000"/>
                <w:kern w:val="0"/>
                <w:szCs w:val="21"/>
                <w:lang w:eastAsia="zh-CN"/>
                <w14:ligatures w14:val="none"/>
              </w:rPr>
              <w:t>市湖滨新区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宿迁市高性能复合</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材料产业集聚区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7650.3</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r>
      <w:tr>
        <w:tblPrEx>
          <w:tblCellMar>
            <w:top w:w="0" w:type="dxa"/>
            <w:left w:w="23" w:type="dxa"/>
            <w:bottom w:w="0" w:type="dxa"/>
            <w:right w:w="23" w:type="dxa"/>
          </w:tblCellMar>
        </w:tblPrEx>
        <w:trPr>
          <w:trHeight w:val="323" w:hRule="atLeast"/>
          <w:jc w:val="center"/>
        </w:trPr>
        <w:tc>
          <w:tcPr>
            <w:tcW w:w="444"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lang w:eastAsia="zh-CN"/>
                <w14:ligatures w14:val="none"/>
              </w:rPr>
              <w:t>苏宿工业园区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苏州宿迁工业园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kern w:val="0"/>
                <w:szCs w:val="21"/>
                <w14:ligatures w14:val="none"/>
              </w:rPr>
              <w:t>18281.1</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r>
      <w:tr>
        <w:tblPrEx>
          <w:tblCellMar>
            <w:top w:w="0" w:type="dxa"/>
            <w:left w:w="23" w:type="dxa"/>
            <w:bottom w:w="0" w:type="dxa"/>
            <w:right w:w="23" w:type="dxa"/>
          </w:tblCellMar>
        </w:tblPrEx>
        <w:trPr>
          <w:trHeight w:val="384" w:hRule="atLeast"/>
          <w:jc w:val="center"/>
        </w:trPr>
        <w:tc>
          <w:tcPr>
            <w:tcW w:w="444"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 w:val="21"/>
                <w:szCs w:val="21"/>
                <w:lang w:val="en-US" w:eastAsia="zh-CN" w:bidi="ar-SA"/>
                <w14:ligatures w14:val="none"/>
              </w:rPr>
            </w:pPr>
            <w:r>
              <w:rPr>
                <w:rFonts w:hint="default" w:ascii="Times New Roman" w:hAnsi="Times New Roman" w:eastAsia="方正仿宋_GBK" w:cs="Times New Roman"/>
                <w:b w:val="0"/>
                <w:bCs w:val="0"/>
                <w:spacing w:val="-20"/>
                <w:kern w:val="0"/>
                <w:szCs w:val="21"/>
                <w14:ligatures w14:val="none"/>
              </w:rPr>
              <w:t>发展壮大</w:t>
            </w:r>
            <w:r>
              <w:rPr>
                <w:rFonts w:hint="default" w:ascii="Times New Roman" w:hAnsi="Times New Roman" w:eastAsia="方正仿宋_GBK" w:cs="Times New Roman"/>
                <w:b w:val="0"/>
                <w:bCs w:val="0"/>
                <w:spacing w:val="-20"/>
                <w:kern w:val="0"/>
                <w:szCs w:val="21"/>
                <w14:ligatures w14:val="none"/>
              </w:rPr>
              <w:br w:type="textWrapping"/>
            </w:r>
            <w:r>
              <w:rPr>
                <w:rFonts w:hint="default" w:ascii="Times New Roman" w:hAnsi="Times New Roman" w:eastAsia="方正仿宋_GBK" w:cs="Times New Roman"/>
                <w:b w:val="0"/>
                <w:bCs w:val="0"/>
                <w:spacing w:val="-20"/>
                <w:kern w:val="0"/>
                <w:szCs w:val="21"/>
                <w14:ligatures w14:val="none"/>
              </w:rPr>
              <w:t>新兴临港产业</w:t>
            </w:r>
          </w:p>
        </w:tc>
        <w:tc>
          <w:tcPr>
            <w:tcW w:w="323"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装备制造</w:t>
            </w:r>
          </w:p>
        </w:tc>
        <w:tc>
          <w:tcPr>
            <w:tcW w:w="395"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lang w:val="en-US" w:eastAsia="zh-CN"/>
                <w14:ligatures w14:val="none"/>
              </w:rPr>
            </w:pPr>
            <w:r>
              <w:rPr>
                <w:rFonts w:hint="default" w:ascii="Times New Roman" w:hAnsi="Times New Roman" w:eastAsia="等线" w:cs="Times New Roman"/>
                <w:b w:val="0"/>
                <w:bCs w:val="0"/>
                <w:kern w:val="0"/>
                <w:szCs w:val="21"/>
                <w:lang w:val="en-US" w:eastAsia="zh-CN"/>
                <w14:ligatures w14:val="none"/>
              </w:rPr>
              <w:t>300</w:t>
            </w:r>
          </w:p>
        </w:tc>
        <w:tc>
          <w:tcPr>
            <w:tcW w:w="466"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沭阳县</w:t>
            </w:r>
          </w:p>
        </w:tc>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沭阳经济技术开发区</w:t>
            </w:r>
          </w:p>
        </w:tc>
        <w:tc>
          <w:tcPr>
            <w:tcW w:w="4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 xml:space="preserve">47481.5 </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沭城岸线</w:t>
            </w:r>
          </w:p>
        </w:tc>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1400</w:t>
            </w:r>
          </w:p>
        </w:tc>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淮沭新河</w:t>
            </w:r>
          </w:p>
        </w:tc>
      </w:tr>
      <w:tr>
        <w:tblPrEx>
          <w:tblCellMar>
            <w:top w:w="0" w:type="dxa"/>
            <w:left w:w="23" w:type="dxa"/>
            <w:bottom w:w="0" w:type="dxa"/>
            <w:right w:w="23" w:type="dxa"/>
          </w:tblCellMar>
        </w:tblPrEx>
        <w:trPr>
          <w:trHeight w:val="391"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马厂镇机械产业园</w:t>
            </w:r>
          </w:p>
        </w:tc>
        <w:tc>
          <w:tcPr>
            <w:tcW w:w="47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 xml:space="preserve">1363.8 </w:t>
            </w:r>
          </w:p>
        </w:tc>
        <w:tc>
          <w:tcPr>
            <w:tcW w:w="663"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章集岸线</w:t>
            </w:r>
          </w:p>
        </w:tc>
        <w:tc>
          <w:tcPr>
            <w:tcW w:w="35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300</w:t>
            </w:r>
          </w:p>
        </w:tc>
        <w:tc>
          <w:tcPr>
            <w:tcW w:w="50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泗灌线</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（柴米河）</w:t>
            </w:r>
          </w:p>
        </w:tc>
      </w:tr>
      <w:tr>
        <w:tblPrEx>
          <w:tblCellMar>
            <w:top w:w="0" w:type="dxa"/>
            <w:left w:w="23" w:type="dxa"/>
            <w:bottom w:w="0" w:type="dxa"/>
            <w:right w:w="23" w:type="dxa"/>
          </w:tblCellMar>
        </w:tblPrEx>
        <w:trPr>
          <w:trHeight w:val="419"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泗洪县</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泗洪经济开发区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42136.65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城东作业区岸线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lang w:val="zh-CN"/>
                <w14:ligatures w14:val="none"/>
              </w:rPr>
              <w:t>1060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洪泽湖西线</w:t>
            </w:r>
          </w:p>
        </w:tc>
      </w:tr>
      <w:tr>
        <w:tblPrEx>
          <w:tblCellMar>
            <w:top w:w="0" w:type="dxa"/>
            <w:left w:w="23" w:type="dxa"/>
            <w:bottom w:w="0" w:type="dxa"/>
            <w:right w:w="23" w:type="dxa"/>
          </w:tblCellMar>
        </w:tblPrEx>
        <w:trPr>
          <w:trHeight w:val="389"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常熟泗洪工业园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城东作业区岸线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lang w:val="zh-CN"/>
                <w14:ligatures w14:val="none"/>
              </w:rPr>
              <w:t>1060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洪泽湖西线</w:t>
            </w:r>
          </w:p>
        </w:tc>
      </w:tr>
      <w:tr>
        <w:tblPrEx>
          <w:tblCellMar>
            <w:top w:w="0" w:type="dxa"/>
            <w:left w:w="23" w:type="dxa"/>
            <w:bottom w:w="0" w:type="dxa"/>
            <w:right w:w="23" w:type="dxa"/>
          </w:tblCellMar>
        </w:tblPrEx>
        <w:trPr>
          <w:trHeight w:val="404"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宿豫区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color w:val="000000"/>
                <w:spacing w:val="-12"/>
                <w:kern w:val="0"/>
                <w:szCs w:val="21"/>
                <w14:ligatures w14:val="none"/>
              </w:rPr>
              <w:t>宿迁高新技术产业开发区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color w:val="000000"/>
                <w:kern w:val="0"/>
                <w:szCs w:val="21"/>
                <w14:ligatures w14:val="none"/>
              </w:rPr>
              <w:t>21722.85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宿豫北岸线、宿豫南岸线、陆墩岸线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color w:val="000000"/>
                <w:kern w:val="0"/>
                <w:szCs w:val="21"/>
                <w14:ligatures w14:val="none"/>
              </w:rPr>
              <w:t>4520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京杭运河</w:t>
            </w:r>
          </w:p>
        </w:tc>
      </w:tr>
      <w:tr>
        <w:tblPrEx>
          <w:tblCellMar>
            <w:top w:w="0" w:type="dxa"/>
            <w:left w:w="23" w:type="dxa"/>
            <w:bottom w:w="0" w:type="dxa"/>
            <w:right w:w="23" w:type="dxa"/>
          </w:tblCellMar>
        </w:tblPrEx>
        <w:trPr>
          <w:trHeight w:val="404"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方正仿宋_GBK"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陆集临港产业园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color w:val="000000"/>
                <w:kern w:val="0"/>
                <w:szCs w:val="21"/>
                <w14:ligatures w14:val="none"/>
              </w:rPr>
              <w:t>3120.15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陆集港岸线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color w:val="000000"/>
                <w:kern w:val="0"/>
                <w:szCs w:val="21"/>
                <w14:ligatures w14:val="none"/>
              </w:rPr>
              <w:t>3200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宿连航道</w:t>
            </w:r>
          </w:p>
        </w:tc>
      </w:tr>
      <w:tr>
        <w:tblPrEx>
          <w:tblCellMar>
            <w:top w:w="0" w:type="dxa"/>
            <w:left w:w="23" w:type="dxa"/>
            <w:bottom w:w="0" w:type="dxa"/>
            <w:right w:w="23" w:type="dxa"/>
          </w:tblCellMar>
        </w:tblPrEx>
        <w:trPr>
          <w:trHeight w:val="404"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方正仿宋_GBK"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新庄镇机械制造园区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color w:val="000000"/>
                <w:kern w:val="0"/>
                <w:szCs w:val="21"/>
                <w14:ligatures w14:val="none"/>
              </w:rPr>
              <w:t>1412.7</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新庄岸线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color w:val="000000"/>
                <w:kern w:val="0"/>
                <w:szCs w:val="21"/>
                <w14:ligatures w14:val="none"/>
              </w:rPr>
              <w:t>900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宿连航道</w:t>
            </w:r>
          </w:p>
        </w:tc>
      </w:tr>
      <w:tr>
        <w:tblPrEx>
          <w:tblCellMar>
            <w:top w:w="0" w:type="dxa"/>
            <w:left w:w="23" w:type="dxa"/>
            <w:bottom w:w="0" w:type="dxa"/>
            <w:right w:w="23" w:type="dxa"/>
          </w:tblCellMar>
        </w:tblPrEx>
        <w:trPr>
          <w:trHeight w:val="404"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宿城区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宿城经济开发区</w:t>
            </w:r>
          </w:p>
          <w:p>
            <w:pPr>
              <w:keepNext w:val="0"/>
              <w:keepLines w:val="0"/>
              <w:pageBreakBefore w:val="0"/>
              <w:widowControl/>
              <w:kinsoku/>
              <w:wordWrap/>
              <w:overflowPunct/>
              <w:topLinePunct w:val="0"/>
              <w:autoSpaceDE/>
              <w:autoSpaceDN/>
              <w:bidi w:val="0"/>
              <w:adjustRightInd/>
              <w:snapToGrid/>
              <w:spacing w:line="220" w:lineRule="exact"/>
              <w:ind w:left="-105" w:leftChars="-50" w:right="-105" w:rightChars="-50"/>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spacing w:val="-12"/>
                <w:kern w:val="0"/>
                <w:szCs w:val="21"/>
                <w14:ligatures w14:val="none"/>
              </w:rPr>
              <w:t>（南片区，含恒力工业园）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kern w:val="0"/>
                <w:szCs w:val="21"/>
                <w14:ligatures w14:val="none"/>
              </w:rPr>
              <w:t>6468.9</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恒力工业园岸线、粮食码头岸线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850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京杭运河</w:t>
            </w:r>
          </w:p>
        </w:tc>
      </w:tr>
      <w:tr>
        <w:tblPrEx>
          <w:tblCellMar>
            <w:top w:w="0" w:type="dxa"/>
            <w:left w:w="23" w:type="dxa"/>
            <w:bottom w:w="0" w:type="dxa"/>
            <w:right w:w="23" w:type="dxa"/>
          </w:tblCellMar>
        </w:tblPrEx>
        <w:trPr>
          <w:trHeight w:val="394"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宿迁经开区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宿迁经济技术开发区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34024.35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lang w:val="zh-CN"/>
                <w14:ligatures w14:val="none"/>
              </w:rPr>
            </w:pPr>
            <w:r>
              <w:rPr>
                <w:rFonts w:hint="default" w:ascii="Times New Roman" w:hAnsi="Times New Roman" w:eastAsia="等线" w:cs="Times New Roman"/>
                <w:b w:val="0"/>
                <w:bCs w:val="0"/>
                <w:kern w:val="0"/>
                <w:szCs w:val="21"/>
                <w14:ligatures w14:val="none"/>
              </w:rPr>
              <w:t>——</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r>
      <w:tr>
        <w:tblPrEx>
          <w:tblCellMar>
            <w:top w:w="0" w:type="dxa"/>
            <w:left w:w="23" w:type="dxa"/>
            <w:bottom w:w="0" w:type="dxa"/>
            <w:right w:w="23" w:type="dxa"/>
          </w:tblCellMar>
        </w:tblPrEx>
        <w:trPr>
          <w:trHeight w:val="429"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lang w:eastAsia="zh-CN"/>
                <w14:ligatures w14:val="none"/>
              </w:rPr>
              <w:t>苏宿工业园区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苏州宿迁工业园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18281.1</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lang w:val="zh-CN"/>
                <w14:ligatures w14:val="none"/>
              </w:rPr>
            </w:pPr>
            <w:r>
              <w:rPr>
                <w:rFonts w:hint="default" w:ascii="Times New Roman" w:hAnsi="Times New Roman" w:eastAsia="等线" w:cs="Times New Roman"/>
                <w:b w:val="0"/>
                <w:bCs w:val="0"/>
                <w:kern w:val="0"/>
                <w:szCs w:val="21"/>
                <w14:ligatures w14:val="none"/>
              </w:rPr>
              <w:t>——</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r>
      <w:tr>
        <w:tblPrEx>
          <w:tblCellMar>
            <w:top w:w="0" w:type="dxa"/>
            <w:left w:w="23" w:type="dxa"/>
            <w:bottom w:w="0" w:type="dxa"/>
            <w:right w:w="23" w:type="dxa"/>
          </w:tblCellMar>
        </w:tblPrEx>
        <w:trPr>
          <w:trHeight w:val="399"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等线" w:cs="Times New Roman"/>
                <w:b w:val="0"/>
                <w:bCs w:val="0"/>
                <w:kern w:val="0"/>
                <w:szCs w:val="21"/>
                <w:lang w:eastAsia="zh-CN"/>
                <w14:ligatures w14:val="none"/>
              </w:rPr>
            </w:pPr>
            <w:r>
              <w:rPr>
                <w:rFonts w:hint="eastAsia" w:ascii="Times New Roman" w:hAnsi="Times New Roman" w:eastAsia="方正仿宋_GBK" w:cs="Times New Roman"/>
                <w:b w:val="0"/>
                <w:bCs w:val="0"/>
                <w:kern w:val="0"/>
                <w:szCs w:val="21"/>
                <w:lang w:eastAsia="zh-CN"/>
                <w14:ligatures w14:val="none"/>
              </w:rPr>
              <w:t>市洋河新区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洋河临港产业园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1688.4</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郑楼岸线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color w:val="000000"/>
                <w:kern w:val="0"/>
                <w:szCs w:val="21"/>
                <w14:ligatures w14:val="none"/>
              </w:rPr>
              <w:t>1200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京杭运河</w:t>
            </w:r>
          </w:p>
        </w:tc>
      </w:tr>
      <w:tr>
        <w:tblPrEx>
          <w:tblCellMar>
            <w:top w:w="0" w:type="dxa"/>
            <w:left w:w="23" w:type="dxa"/>
            <w:bottom w:w="0" w:type="dxa"/>
            <w:right w:w="23" w:type="dxa"/>
          </w:tblCellMar>
        </w:tblPrEx>
        <w:trPr>
          <w:trHeight w:val="386"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绿色循环</w:t>
            </w:r>
          </w:p>
        </w:tc>
        <w:tc>
          <w:tcPr>
            <w:tcW w:w="395"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100</w:t>
            </w:r>
          </w:p>
        </w:tc>
        <w:tc>
          <w:tcPr>
            <w:tcW w:w="4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沭阳县</w:t>
            </w:r>
          </w:p>
        </w:tc>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沭阳经济技术开发区</w:t>
            </w:r>
          </w:p>
        </w:tc>
        <w:tc>
          <w:tcPr>
            <w:tcW w:w="4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 xml:space="preserve">47481.5 </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沭城岸线</w:t>
            </w:r>
          </w:p>
        </w:tc>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1400</w:t>
            </w:r>
          </w:p>
        </w:tc>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淮沭新河</w:t>
            </w:r>
          </w:p>
        </w:tc>
      </w:tr>
      <w:tr>
        <w:tblPrEx>
          <w:tblCellMar>
            <w:top w:w="0" w:type="dxa"/>
            <w:left w:w="23" w:type="dxa"/>
            <w:bottom w:w="0" w:type="dxa"/>
            <w:right w:w="23" w:type="dxa"/>
          </w:tblCellMar>
        </w:tblPrEx>
        <w:trPr>
          <w:trHeight w:val="393"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泗阳县</w:t>
            </w:r>
          </w:p>
        </w:tc>
        <w:tc>
          <w:tcPr>
            <w:tcW w:w="41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泗阳经济开发区</w:t>
            </w:r>
          </w:p>
        </w:tc>
        <w:tc>
          <w:tcPr>
            <w:tcW w:w="47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 xml:space="preserve">47814.2 </w:t>
            </w:r>
          </w:p>
        </w:tc>
        <w:tc>
          <w:tcPr>
            <w:tcW w:w="663"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城东岸线</w:t>
            </w:r>
          </w:p>
        </w:tc>
        <w:tc>
          <w:tcPr>
            <w:tcW w:w="35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color w:val="000000"/>
                <w:kern w:val="0"/>
                <w:szCs w:val="21"/>
                <w:lang w:val="zh-CN"/>
                <w14:ligatures w14:val="none"/>
              </w:rPr>
              <w:t>1700</w:t>
            </w:r>
          </w:p>
        </w:tc>
        <w:tc>
          <w:tcPr>
            <w:tcW w:w="50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京杭运河</w:t>
            </w:r>
          </w:p>
        </w:tc>
      </w:tr>
      <w:tr>
        <w:tblPrEx>
          <w:tblCellMar>
            <w:top w:w="0" w:type="dxa"/>
            <w:left w:w="23" w:type="dxa"/>
            <w:bottom w:w="0" w:type="dxa"/>
            <w:right w:w="23" w:type="dxa"/>
          </w:tblCellMar>
        </w:tblPrEx>
        <w:trPr>
          <w:trHeight w:val="368"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宿豫区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来龙工业园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color w:val="000000"/>
                <w:kern w:val="0"/>
                <w:szCs w:val="21"/>
                <w14:ligatures w14:val="none"/>
              </w:rPr>
              <w:t>2300.55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来龙岸线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color w:val="000000"/>
                <w:kern w:val="0"/>
                <w:szCs w:val="21"/>
                <w14:ligatures w14:val="none"/>
              </w:rPr>
              <w:t>2100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宿连航道</w:t>
            </w:r>
          </w:p>
        </w:tc>
      </w:tr>
      <w:tr>
        <w:tblPrEx>
          <w:tblCellMar>
            <w:top w:w="0" w:type="dxa"/>
            <w:left w:w="23" w:type="dxa"/>
            <w:bottom w:w="0" w:type="dxa"/>
            <w:right w:w="23" w:type="dxa"/>
          </w:tblCellMar>
        </w:tblPrEx>
        <w:trPr>
          <w:trHeight w:val="390" w:hRule="atLeast"/>
          <w:jc w:val="center"/>
        </w:trPr>
        <w:tc>
          <w:tcPr>
            <w:tcW w:w="44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20"/>
                <w:kern w:val="0"/>
                <w:szCs w:val="21"/>
                <w14:ligatures w14:val="none"/>
              </w:rPr>
            </w:pPr>
            <w:r>
              <w:rPr>
                <w:rFonts w:hint="default" w:ascii="Times New Roman" w:hAnsi="Times New Roman" w:eastAsia="方正仿宋_GBK" w:cs="Times New Roman"/>
                <w:b w:val="0"/>
                <w:bCs w:val="0"/>
                <w:spacing w:val="-20"/>
                <w:kern w:val="0"/>
                <w:szCs w:val="21"/>
                <w14:ligatures w14:val="none"/>
              </w:rPr>
              <w:t>优化提升</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r>
              <w:rPr>
                <w:rFonts w:hint="default" w:ascii="Times New Roman" w:hAnsi="Times New Roman" w:eastAsia="方正仿宋_GBK" w:cs="Times New Roman"/>
                <w:b w:val="0"/>
                <w:bCs w:val="0"/>
                <w:spacing w:val="-20"/>
                <w:kern w:val="0"/>
                <w:szCs w:val="21"/>
                <w14:ligatures w14:val="none"/>
              </w:rPr>
              <w:t>传统临港产业</w:t>
            </w:r>
          </w:p>
        </w:tc>
        <w:tc>
          <w:tcPr>
            <w:tcW w:w="323" w:type="pct"/>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高端纺织</w:t>
            </w:r>
          </w:p>
        </w:tc>
        <w:tc>
          <w:tcPr>
            <w:tcW w:w="395" w:type="pct"/>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900</w:t>
            </w:r>
          </w:p>
        </w:tc>
        <w:tc>
          <w:tcPr>
            <w:tcW w:w="46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沭阳县</w:t>
            </w:r>
          </w:p>
        </w:tc>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沭阳临港产业园</w:t>
            </w:r>
          </w:p>
        </w:tc>
        <w:tc>
          <w:tcPr>
            <w:tcW w:w="4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7620.9</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高墟岸线、沭阳临港工业园岸线</w:t>
            </w:r>
          </w:p>
        </w:tc>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4100</w:t>
            </w:r>
          </w:p>
        </w:tc>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宿连航道</w:t>
            </w:r>
          </w:p>
        </w:tc>
      </w:tr>
      <w:tr>
        <w:tblPrEx>
          <w:tblCellMar>
            <w:top w:w="0" w:type="dxa"/>
            <w:left w:w="23" w:type="dxa"/>
            <w:bottom w:w="0" w:type="dxa"/>
            <w:right w:w="23" w:type="dxa"/>
          </w:tblCellMar>
        </w:tblPrEx>
        <w:trPr>
          <w:trHeight w:val="362"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restart"/>
            <w:tcBorders>
              <w:top w:val="single" w:color="auto" w:sz="4" w:space="0"/>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泗阳县</w:t>
            </w:r>
          </w:p>
        </w:tc>
        <w:tc>
          <w:tcPr>
            <w:tcW w:w="41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泗阳经济开发区</w:t>
            </w:r>
          </w:p>
        </w:tc>
        <w:tc>
          <w:tcPr>
            <w:tcW w:w="47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 xml:space="preserve">47814.2 </w:t>
            </w:r>
          </w:p>
        </w:tc>
        <w:tc>
          <w:tcPr>
            <w:tcW w:w="663"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城东岸线</w:t>
            </w:r>
          </w:p>
        </w:tc>
        <w:tc>
          <w:tcPr>
            <w:tcW w:w="35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lang w:val="zh-CN"/>
                <w14:ligatures w14:val="none"/>
              </w:rPr>
              <w:t>1700</w:t>
            </w:r>
          </w:p>
        </w:tc>
        <w:tc>
          <w:tcPr>
            <w:tcW w:w="50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京杭运河</w:t>
            </w:r>
          </w:p>
        </w:tc>
      </w:tr>
      <w:tr>
        <w:tblPrEx>
          <w:tblCellMar>
            <w:top w:w="0" w:type="dxa"/>
            <w:left w:w="23" w:type="dxa"/>
            <w:bottom w:w="0" w:type="dxa"/>
            <w:right w:w="23" w:type="dxa"/>
          </w:tblCellMar>
        </w:tblPrEx>
        <w:trPr>
          <w:trHeight w:val="520"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泗阳高新技术产业开发区</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spacing w:val="0"/>
                <w:kern w:val="0"/>
                <w:sz w:val="21"/>
                <w:szCs w:val="21"/>
                <w14:ligatures w14:val="none"/>
              </w:rPr>
              <w:t>（</w:t>
            </w:r>
            <w:r>
              <w:rPr>
                <w:rFonts w:hint="default" w:ascii="Times New Roman" w:hAnsi="Times New Roman" w:eastAsia="方正仿宋_GBK" w:cs="Times New Roman"/>
                <w:b w:val="0"/>
                <w:bCs w:val="0"/>
                <w:color w:val="000000"/>
                <w:spacing w:val="0"/>
                <w:sz w:val="21"/>
                <w:szCs w:val="21"/>
                <w14:ligatures w14:val="none"/>
              </w:rPr>
              <w:t>含吴江泗阳工业园</w:t>
            </w:r>
            <w:r>
              <w:rPr>
                <w:rFonts w:hint="default" w:ascii="Times New Roman" w:hAnsi="Times New Roman" w:eastAsia="方正仿宋_GBK" w:cs="Times New Roman"/>
                <w:b w:val="0"/>
                <w:bCs w:val="0"/>
                <w:spacing w:val="0"/>
                <w:kern w:val="0"/>
                <w:sz w:val="21"/>
                <w:szCs w:val="21"/>
                <w14:ligatures w14:val="none"/>
              </w:rPr>
              <w:t>）</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 xml:space="preserve">18547.2 </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二里桥岸线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lang w:val="zh-CN"/>
                <w14:ligatures w14:val="none"/>
              </w:rPr>
              <w:t>850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成子河</w:t>
            </w:r>
          </w:p>
        </w:tc>
      </w:tr>
      <w:tr>
        <w:tblPrEx>
          <w:tblCellMar>
            <w:top w:w="0" w:type="dxa"/>
            <w:left w:w="23" w:type="dxa"/>
            <w:bottom w:w="0" w:type="dxa"/>
            <w:right w:w="23" w:type="dxa"/>
          </w:tblCellMar>
        </w:tblPrEx>
        <w:trPr>
          <w:trHeight w:val="525"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宿城区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运河宿迁港产业园</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spacing w:val="0"/>
                <w:kern w:val="0"/>
                <w:sz w:val="21"/>
                <w:szCs w:val="21"/>
                <w14:ligatures w14:val="none"/>
              </w:rPr>
              <w:t>（含恒力时尚产业园）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16432.95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宿迁中心港岸线、张圩干渠岸线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kern w:val="0"/>
                <w:szCs w:val="21"/>
                <w14:ligatures w14:val="none"/>
              </w:rPr>
              <w:t>7502</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京杭运河、</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张涧线</w:t>
            </w:r>
          </w:p>
        </w:tc>
      </w:tr>
      <w:tr>
        <w:tblPrEx>
          <w:tblCellMar>
            <w:top w:w="0" w:type="dxa"/>
            <w:left w:w="23" w:type="dxa"/>
            <w:bottom w:w="0" w:type="dxa"/>
            <w:right w:w="23" w:type="dxa"/>
          </w:tblCellMar>
        </w:tblPrEx>
        <w:trPr>
          <w:trHeight w:val="491" w:hRule="atLeast"/>
          <w:jc w:val="center"/>
        </w:trPr>
        <w:tc>
          <w:tcPr>
            <w:tcW w:w="444"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方正仿宋_GBK"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宿城经济开发区</w:t>
            </w:r>
          </w:p>
          <w:p>
            <w:pPr>
              <w:keepNext w:val="0"/>
              <w:keepLines w:val="0"/>
              <w:pageBreakBefore w:val="0"/>
              <w:widowControl/>
              <w:kinsoku/>
              <w:wordWrap/>
              <w:overflowPunct/>
              <w:topLinePunct w:val="0"/>
              <w:autoSpaceDE/>
              <w:autoSpaceDN/>
              <w:bidi w:val="0"/>
              <w:adjustRightInd/>
              <w:snapToGrid/>
              <w:spacing w:line="220" w:lineRule="exact"/>
              <w:ind w:left="-105" w:leftChars="-50" w:right="-105" w:rightChars="-50"/>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spacing w:val="0"/>
                <w:kern w:val="0"/>
                <w:sz w:val="21"/>
                <w:szCs w:val="21"/>
                <w14:ligatures w14:val="none"/>
              </w:rPr>
              <w:t>（南片区，含恒力工业园）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6468.9</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恒力工业园岸线、粮食码头岸线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lang w:val="zh-CN"/>
                <w14:ligatures w14:val="none"/>
              </w:rPr>
            </w:pPr>
            <w:r>
              <w:rPr>
                <w:rFonts w:hint="default" w:ascii="Times New Roman" w:hAnsi="Times New Roman" w:eastAsia="等线" w:cs="Times New Roman"/>
                <w:b w:val="0"/>
                <w:bCs w:val="0"/>
                <w:color w:val="000000"/>
                <w:kern w:val="0"/>
                <w:szCs w:val="21"/>
                <w14:ligatures w14:val="none"/>
              </w:rPr>
              <w:t>850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京杭运河</w:t>
            </w:r>
          </w:p>
        </w:tc>
      </w:tr>
      <w:tr>
        <w:tblPrEx>
          <w:tblCellMar>
            <w:top w:w="0" w:type="dxa"/>
            <w:left w:w="23" w:type="dxa"/>
            <w:bottom w:w="0" w:type="dxa"/>
            <w:right w:w="23" w:type="dxa"/>
          </w:tblCellMar>
        </w:tblPrEx>
        <w:trPr>
          <w:trHeight w:val="323" w:hRule="atLeast"/>
          <w:jc w:val="center"/>
        </w:trPr>
        <w:tc>
          <w:tcPr>
            <w:tcW w:w="444" w:type="pct"/>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20"/>
                <w:kern w:val="0"/>
                <w:szCs w:val="21"/>
                <w14:ligatures w14:val="none"/>
              </w:rPr>
            </w:pPr>
            <w:r>
              <w:rPr>
                <w:rFonts w:hint="default" w:ascii="Times New Roman" w:hAnsi="Times New Roman" w:eastAsia="方正仿宋_GBK" w:cs="Times New Roman"/>
                <w:b w:val="0"/>
                <w:bCs w:val="0"/>
                <w:spacing w:val="-20"/>
                <w:kern w:val="0"/>
                <w:szCs w:val="21"/>
                <w14:ligatures w14:val="none"/>
              </w:rPr>
              <w:t>优化提升</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 w:val="21"/>
                <w:szCs w:val="21"/>
                <w:lang w:val="en-US" w:eastAsia="zh-CN" w:bidi="ar-SA"/>
                <w14:ligatures w14:val="none"/>
              </w:rPr>
            </w:pPr>
            <w:r>
              <w:rPr>
                <w:rFonts w:hint="default" w:ascii="Times New Roman" w:hAnsi="Times New Roman" w:eastAsia="方正仿宋_GBK" w:cs="Times New Roman"/>
                <w:b w:val="0"/>
                <w:bCs w:val="0"/>
                <w:spacing w:val="-20"/>
                <w:kern w:val="0"/>
                <w:szCs w:val="21"/>
                <w14:ligatures w14:val="none"/>
              </w:rPr>
              <w:t>传统临港产业</w:t>
            </w:r>
          </w:p>
        </w:tc>
        <w:tc>
          <w:tcPr>
            <w:tcW w:w="323"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绿色家居</w:t>
            </w:r>
          </w:p>
        </w:tc>
        <w:tc>
          <w:tcPr>
            <w:tcW w:w="395"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lang w:val="en-US" w:eastAsia="zh-CN"/>
                <w14:ligatures w14:val="none"/>
              </w:rPr>
            </w:pPr>
            <w:r>
              <w:rPr>
                <w:rFonts w:hint="default" w:ascii="Times New Roman" w:hAnsi="Times New Roman" w:eastAsia="等线" w:cs="Times New Roman"/>
                <w:b w:val="0"/>
                <w:bCs w:val="0"/>
                <w:kern w:val="0"/>
                <w:szCs w:val="21"/>
                <w:lang w:val="en-US" w:eastAsia="zh-CN"/>
                <w14:ligatures w14:val="none"/>
              </w:rPr>
              <w:t>400</w:t>
            </w:r>
          </w:p>
        </w:tc>
        <w:tc>
          <w:tcPr>
            <w:tcW w:w="466"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沭阳县</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宿迁生态板材产业园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2881.8</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贤官岸线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900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宿连航道</w:t>
            </w:r>
          </w:p>
        </w:tc>
      </w:tr>
      <w:tr>
        <w:tblPrEx>
          <w:tblCellMar>
            <w:top w:w="0" w:type="dxa"/>
            <w:left w:w="23" w:type="dxa"/>
            <w:bottom w:w="0" w:type="dxa"/>
            <w:right w:w="23" w:type="dxa"/>
          </w:tblCellMar>
        </w:tblPrEx>
        <w:trPr>
          <w:trHeight w:val="324"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扎下镇工业园区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4018.5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矛盾河岸线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lang w:val="en-US" w:eastAsia="zh-CN"/>
                <w14:ligatures w14:val="none"/>
              </w:rPr>
            </w:pPr>
            <w:r>
              <w:rPr>
                <w:rFonts w:hint="eastAsia" w:ascii="Times New Roman" w:hAnsi="Times New Roman" w:eastAsia="等线" w:cs="Times New Roman"/>
                <w:b w:val="0"/>
                <w:bCs w:val="0"/>
                <w:color w:val="000000"/>
                <w:kern w:val="0"/>
                <w:szCs w:val="21"/>
                <w:lang w:val="en-US" w:eastAsia="zh-CN"/>
                <w14:ligatures w14:val="none"/>
              </w:rPr>
              <w:t>250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矛盾河</w:t>
            </w:r>
          </w:p>
        </w:tc>
      </w:tr>
      <w:tr>
        <w:tblPrEx>
          <w:tblCellMar>
            <w:top w:w="0" w:type="dxa"/>
            <w:left w:w="23" w:type="dxa"/>
            <w:bottom w:w="0" w:type="dxa"/>
            <w:right w:w="23" w:type="dxa"/>
          </w:tblCellMar>
        </w:tblPrEx>
        <w:trPr>
          <w:trHeight w:val="336"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桑墟镇工业园区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5457</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桑墟岸线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600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宿连航道</w:t>
            </w:r>
          </w:p>
        </w:tc>
      </w:tr>
      <w:tr>
        <w:tblPrEx>
          <w:tblCellMar>
            <w:top w:w="0" w:type="dxa"/>
            <w:left w:w="23" w:type="dxa"/>
            <w:bottom w:w="0" w:type="dxa"/>
            <w:right w:w="23" w:type="dxa"/>
          </w:tblCellMar>
        </w:tblPrEx>
        <w:trPr>
          <w:trHeight w:val="390"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泗阳县</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泗阳高新技术产业开发区</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spacing w:val="0"/>
                <w:kern w:val="0"/>
                <w:sz w:val="21"/>
                <w:szCs w:val="21"/>
                <w14:ligatures w14:val="none"/>
              </w:rPr>
              <w:t>（</w:t>
            </w:r>
            <w:r>
              <w:rPr>
                <w:rFonts w:hint="default" w:ascii="Times New Roman" w:hAnsi="Times New Roman" w:eastAsia="方正仿宋_GBK" w:cs="Times New Roman"/>
                <w:b w:val="0"/>
                <w:bCs w:val="0"/>
                <w:color w:val="000000"/>
                <w:spacing w:val="0"/>
                <w:sz w:val="21"/>
                <w:szCs w:val="21"/>
                <w14:ligatures w14:val="none"/>
              </w:rPr>
              <w:t>含吴江泗阳工业园</w:t>
            </w:r>
            <w:r>
              <w:rPr>
                <w:rFonts w:hint="default" w:ascii="Times New Roman" w:hAnsi="Times New Roman" w:eastAsia="方正仿宋_GBK" w:cs="Times New Roman"/>
                <w:b w:val="0"/>
                <w:bCs w:val="0"/>
                <w:spacing w:val="0"/>
                <w:kern w:val="0"/>
                <w:sz w:val="21"/>
                <w:szCs w:val="21"/>
                <w14:ligatures w14:val="none"/>
              </w:rPr>
              <w:t>）</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 xml:space="preserve">18547.2 </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二里桥岸线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lang w:val="zh-CN"/>
                <w14:ligatures w14:val="none"/>
              </w:rPr>
              <w:t>850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成子河</w:t>
            </w:r>
          </w:p>
        </w:tc>
      </w:tr>
      <w:tr>
        <w:tblPrEx>
          <w:tblCellMar>
            <w:top w:w="0" w:type="dxa"/>
            <w:left w:w="23" w:type="dxa"/>
            <w:bottom w:w="0" w:type="dxa"/>
            <w:right w:w="23" w:type="dxa"/>
          </w:tblCellMar>
        </w:tblPrEx>
        <w:trPr>
          <w:trHeight w:val="357"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泗阳经济开发区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 xml:space="preserve">47814.2 </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城东岸线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lang w:val="zh-CN"/>
                <w14:ligatures w14:val="none"/>
              </w:rPr>
              <w:t>1700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京杭运河</w:t>
            </w:r>
          </w:p>
        </w:tc>
      </w:tr>
      <w:tr>
        <w:tblPrEx>
          <w:tblCellMar>
            <w:top w:w="0" w:type="dxa"/>
            <w:left w:w="23" w:type="dxa"/>
            <w:bottom w:w="0" w:type="dxa"/>
            <w:right w:w="23" w:type="dxa"/>
          </w:tblCellMar>
        </w:tblPrEx>
        <w:trPr>
          <w:trHeight w:val="418"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ind w:left="-105" w:leftChars="-50" w:right="-105" w:rightChars="-50"/>
              <w:jc w:val="center"/>
              <w:textAlignment w:val="auto"/>
              <w:rPr>
                <w:rFonts w:hint="default" w:ascii="Times New Roman" w:hAnsi="Times New Roman" w:eastAsia="等线" w:cs="Times New Roman"/>
                <w:b w:val="0"/>
                <w:bCs w:val="0"/>
                <w:color w:val="00000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王集镇高端家具产业园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3227.25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王集岸线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600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泗灌线</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（六塘河）</w:t>
            </w:r>
          </w:p>
        </w:tc>
      </w:tr>
      <w:tr>
        <w:tblPrEx>
          <w:tblCellMar>
            <w:top w:w="0" w:type="dxa"/>
            <w:left w:w="23" w:type="dxa"/>
            <w:bottom w:w="0" w:type="dxa"/>
            <w:right w:w="23" w:type="dxa"/>
          </w:tblCellMar>
        </w:tblPrEx>
        <w:trPr>
          <w:trHeight w:val="354"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spacing w:val="0"/>
                <w:kern w:val="0"/>
                <w:sz w:val="21"/>
                <w:szCs w:val="21"/>
                <w14:ligatures w14:val="none"/>
              </w:rPr>
            </w:pPr>
            <w:r>
              <w:rPr>
                <w:rFonts w:hint="default" w:ascii="Times New Roman" w:hAnsi="Times New Roman" w:eastAsia="方正仿宋_GBK" w:cs="Times New Roman"/>
                <w:b w:val="0"/>
                <w:bCs w:val="0"/>
                <w:color w:val="000000"/>
                <w:spacing w:val="0"/>
                <w:kern w:val="0"/>
                <w:sz w:val="21"/>
                <w:szCs w:val="21"/>
                <w14:ligatures w14:val="none"/>
              </w:rPr>
              <w:t>梅花镇工业集中区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1467.6</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归仁岸线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lang w:val="zh-CN"/>
                <w14:ligatures w14:val="none"/>
              </w:rPr>
              <w:t>500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徐洪河</w:t>
            </w:r>
          </w:p>
        </w:tc>
      </w:tr>
      <w:tr>
        <w:tblPrEx>
          <w:tblCellMar>
            <w:top w:w="0" w:type="dxa"/>
            <w:left w:w="23" w:type="dxa"/>
            <w:bottom w:w="0" w:type="dxa"/>
            <w:right w:w="23" w:type="dxa"/>
          </w:tblCellMar>
        </w:tblPrEx>
        <w:trPr>
          <w:trHeight w:val="377"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绿色食品</w:t>
            </w:r>
          </w:p>
        </w:tc>
        <w:tc>
          <w:tcPr>
            <w:tcW w:w="395"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lang w:val="en-US" w:eastAsia="zh-CN"/>
                <w14:ligatures w14:val="none"/>
              </w:rPr>
            </w:pPr>
            <w:r>
              <w:rPr>
                <w:rFonts w:hint="default" w:ascii="Times New Roman" w:hAnsi="Times New Roman" w:eastAsia="等线" w:cs="Times New Roman"/>
                <w:b w:val="0"/>
                <w:bCs w:val="0"/>
                <w:kern w:val="0"/>
                <w:szCs w:val="21"/>
                <w:lang w:val="en-US" w:eastAsia="zh-CN"/>
                <w14:ligatures w14:val="none"/>
              </w:rPr>
              <w:t>300</w:t>
            </w:r>
          </w:p>
        </w:tc>
        <w:tc>
          <w:tcPr>
            <w:tcW w:w="4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泗阳县</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泗阳现代农业产业园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 xml:space="preserve">1921.8 </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新建庄岸线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1800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成子河</w:t>
            </w:r>
          </w:p>
        </w:tc>
      </w:tr>
      <w:tr>
        <w:tblPrEx>
          <w:tblCellMar>
            <w:top w:w="0" w:type="dxa"/>
            <w:left w:w="23" w:type="dxa"/>
            <w:bottom w:w="0" w:type="dxa"/>
            <w:right w:w="23" w:type="dxa"/>
          </w:tblCellMar>
        </w:tblPrEx>
        <w:trPr>
          <w:trHeight w:val="335"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泗洪县</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双沟临港产业园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 xml:space="preserve">459.6 </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双沟岸线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900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新汴河</w:t>
            </w:r>
          </w:p>
        </w:tc>
      </w:tr>
      <w:tr>
        <w:tblPrEx>
          <w:tblCellMar>
            <w:top w:w="0" w:type="dxa"/>
            <w:left w:w="23" w:type="dxa"/>
            <w:bottom w:w="0" w:type="dxa"/>
            <w:right w:w="23" w:type="dxa"/>
          </w:tblCellMar>
        </w:tblPrEx>
        <w:trPr>
          <w:trHeight w:val="322"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spacing w:val="0"/>
                <w:kern w:val="0"/>
                <w:sz w:val="21"/>
                <w:szCs w:val="21"/>
                <w14:ligatures w14:val="none"/>
              </w:rPr>
            </w:pPr>
            <w:r>
              <w:rPr>
                <w:rFonts w:hint="default" w:ascii="Times New Roman" w:hAnsi="Times New Roman" w:eastAsia="方正仿宋_GBK" w:cs="Times New Roman"/>
                <w:b w:val="0"/>
                <w:bCs w:val="0"/>
                <w:color w:val="000000"/>
                <w:spacing w:val="0"/>
                <w:kern w:val="0"/>
                <w:sz w:val="21"/>
                <w:szCs w:val="21"/>
                <w14:ligatures w14:val="none"/>
              </w:rPr>
              <w:t>西南岗产业园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7959.3</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西南岗产业园岸线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750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怀洪新河</w:t>
            </w:r>
          </w:p>
        </w:tc>
      </w:tr>
      <w:tr>
        <w:tblPrEx>
          <w:tblCellMar>
            <w:top w:w="0" w:type="dxa"/>
            <w:left w:w="23" w:type="dxa"/>
            <w:bottom w:w="0" w:type="dxa"/>
            <w:right w:w="23" w:type="dxa"/>
          </w:tblCellMar>
        </w:tblPrEx>
        <w:trPr>
          <w:trHeight w:val="448"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spacing w:val="0"/>
                <w:kern w:val="0"/>
                <w:sz w:val="21"/>
                <w:szCs w:val="21"/>
                <w14:ligatures w14:val="none"/>
              </w:rPr>
            </w:pPr>
            <w:r>
              <w:rPr>
                <w:rFonts w:hint="default" w:ascii="Times New Roman" w:hAnsi="Times New Roman" w:eastAsia="方正仿宋_GBK" w:cs="Times New Roman"/>
                <w:b w:val="0"/>
                <w:bCs w:val="0"/>
                <w:color w:val="000000"/>
                <w:spacing w:val="0"/>
                <w:kern w:val="0"/>
                <w:sz w:val="21"/>
                <w:szCs w:val="21"/>
                <w14:ligatures w14:val="none"/>
              </w:rPr>
              <w:t>龙集镇工业集中区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241.8</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龙集岸线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600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南圩河</w:t>
            </w:r>
          </w:p>
        </w:tc>
      </w:tr>
      <w:tr>
        <w:tblPrEx>
          <w:tblCellMar>
            <w:top w:w="0" w:type="dxa"/>
            <w:left w:w="23" w:type="dxa"/>
            <w:bottom w:w="0" w:type="dxa"/>
            <w:right w:w="23" w:type="dxa"/>
          </w:tblCellMar>
        </w:tblPrEx>
        <w:trPr>
          <w:trHeight w:val="375"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spacing w:val="0"/>
                <w:kern w:val="0"/>
                <w:sz w:val="21"/>
                <w:szCs w:val="21"/>
                <w14:ligatures w14:val="none"/>
              </w:rPr>
            </w:pPr>
            <w:r>
              <w:rPr>
                <w:rFonts w:hint="default" w:ascii="Times New Roman" w:hAnsi="Times New Roman" w:eastAsia="方正仿宋_GBK" w:cs="Times New Roman"/>
                <w:b w:val="0"/>
                <w:bCs w:val="0"/>
                <w:color w:val="000000"/>
                <w:spacing w:val="0"/>
                <w:kern w:val="0"/>
                <w:sz w:val="21"/>
                <w:szCs w:val="21"/>
                <w14:ligatures w14:val="none"/>
              </w:rPr>
              <w:t>半城镇工业集中区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103.52</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孙园岸线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750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洪泽湖西线</w:t>
            </w:r>
          </w:p>
        </w:tc>
      </w:tr>
      <w:tr>
        <w:tblPrEx>
          <w:tblCellMar>
            <w:top w:w="0" w:type="dxa"/>
            <w:left w:w="23" w:type="dxa"/>
            <w:bottom w:w="0" w:type="dxa"/>
            <w:right w:w="23" w:type="dxa"/>
          </w:tblCellMar>
        </w:tblPrEx>
        <w:trPr>
          <w:trHeight w:val="352"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spacing w:val="0"/>
                <w:kern w:val="0"/>
                <w:sz w:val="21"/>
                <w:szCs w:val="21"/>
                <w14:ligatures w14:val="none"/>
              </w:rPr>
            </w:pPr>
            <w:r>
              <w:rPr>
                <w:rFonts w:hint="default" w:ascii="Times New Roman" w:hAnsi="Times New Roman" w:eastAsia="方正仿宋_GBK" w:cs="Times New Roman"/>
                <w:b w:val="0"/>
                <w:bCs w:val="0"/>
                <w:color w:val="000000"/>
                <w:spacing w:val="0"/>
                <w:kern w:val="0"/>
                <w:sz w:val="21"/>
                <w:szCs w:val="21"/>
                <w14:ligatures w14:val="none"/>
              </w:rPr>
              <w:t>半城镇陈圩工业集中区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 xml:space="preserve">275.1 </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孙园岸线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750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洪泽湖西线</w:t>
            </w:r>
          </w:p>
        </w:tc>
      </w:tr>
      <w:tr>
        <w:tblPrEx>
          <w:tblCellMar>
            <w:top w:w="0" w:type="dxa"/>
            <w:left w:w="23" w:type="dxa"/>
            <w:bottom w:w="0" w:type="dxa"/>
            <w:right w:w="23" w:type="dxa"/>
          </w:tblCellMar>
        </w:tblPrEx>
        <w:trPr>
          <w:trHeight w:val="393"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宿迁经开区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spacing w:val="0"/>
                <w:kern w:val="0"/>
                <w:sz w:val="21"/>
                <w:szCs w:val="21"/>
                <w14:ligatures w14:val="none"/>
              </w:rPr>
            </w:pPr>
            <w:r>
              <w:rPr>
                <w:rFonts w:hint="default" w:ascii="Times New Roman" w:hAnsi="Times New Roman" w:eastAsia="方正仿宋_GBK" w:cs="Times New Roman"/>
                <w:b w:val="0"/>
                <w:bCs w:val="0"/>
                <w:color w:val="000000"/>
                <w:spacing w:val="0"/>
                <w:kern w:val="0"/>
                <w:sz w:val="21"/>
                <w:szCs w:val="21"/>
                <w14:ligatures w14:val="none"/>
              </w:rPr>
              <w:t>宿迁经济技术开发区</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34024.35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w:t>
            </w:r>
          </w:p>
        </w:tc>
      </w:tr>
      <w:tr>
        <w:tblPrEx>
          <w:tblCellMar>
            <w:top w:w="0" w:type="dxa"/>
            <w:left w:w="23" w:type="dxa"/>
            <w:bottom w:w="0" w:type="dxa"/>
            <w:right w:w="23" w:type="dxa"/>
          </w:tblCellMar>
        </w:tblPrEx>
        <w:trPr>
          <w:trHeight w:val="356"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Times New Roman" w:hAnsi="Times New Roman" w:eastAsia="等线" w:cs="Times New Roman"/>
                <w:b w:val="0"/>
                <w:bCs w:val="0"/>
                <w:kern w:val="0"/>
                <w:szCs w:val="21"/>
                <w:lang w:eastAsia="zh-CN"/>
                <w14:ligatures w14:val="none"/>
              </w:rPr>
            </w:pPr>
            <w:r>
              <w:rPr>
                <w:rFonts w:hint="eastAsia" w:ascii="Times New Roman" w:hAnsi="Times New Roman" w:eastAsia="方正仿宋_GBK" w:cs="Times New Roman"/>
                <w:b w:val="0"/>
                <w:bCs w:val="0"/>
                <w:kern w:val="0"/>
                <w:szCs w:val="21"/>
                <w:lang w:eastAsia="zh-CN"/>
                <w14:ligatures w14:val="none"/>
              </w:rPr>
              <w:t>市洋河新区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洋河临港产业园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1688.4</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郑楼岸线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color w:val="000000"/>
                <w:kern w:val="0"/>
                <w:szCs w:val="21"/>
                <w14:ligatures w14:val="none"/>
              </w:rPr>
              <w:t>1200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color w:val="000000"/>
                <w:kern w:val="0"/>
                <w:szCs w:val="21"/>
                <w14:ligatures w14:val="none"/>
              </w:rPr>
              <w:t>京杭运河</w:t>
            </w:r>
          </w:p>
        </w:tc>
      </w:tr>
      <w:tr>
        <w:tblPrEx>
          <w:tblCellMar>
            <w:top w:w="0" w:type="dxa"/>
            <w:left w:w="23" w:type="dxa"/>
            <w:bottom w:w="0" w:type="dxa"/>
            <w:right w:w="23" w:type="dxa"/>
          </w:tblCellMar>
        </w:tblPrEx>
        <w:trPr>
          <w:trHeight w:val="377"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绿色建材</w:t>
            </w:r>
          </w:p>
        </w:tc>
        <w:tc>
          <w:tcPr>
            <w:tcW w:w="395"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200</w:t>
            </w:r>
          </w:p>
        </w:tc>
        <w:tc>
          <w:tcPr>
            <w:tcW w:w="466" w:type="pct"/>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沭阳县</w:t>
            </w:r>
          </w:p>
        </w:tc>
        <w:tc>
          <w:tcPr>
            <w:tcW w:w="41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扎下镇工业园区</w:t>
            </w:r>
          </w:p>
        </w:tc>
        <w:tc>
          <w:tcPr>
            <w:tcW w:w="4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4018.5</w:t>
            </w:r>
          </w:p>
        </w:tc>
        <w:tc>
          <w:tcPr>
            <w:tcW w:w="6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矛盾河岸线</w:t>
            </w:r>
          </w:p>
        </w:tc>
        <w:tc>
          <w:tcPr>
            <w:tcW w:w="35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lang w:val="en-US" w:eastAsia="zh-CN"/>
                <w14:ligatures w14:val="none"/>
              </w:rPr>
            </w:pPr>
            <w:r>
              <w:rPr>
                <w:rFonts w:hint="eastAsia" w:ascii="Times New Roman" w:hAnsi="Times New Roman" w:eastAsia="等线" w:cs="Times New Roman"/>
                <w:b w:val="0"/>
                <w:bCs w:val="0"/>
                <w:kern w:val="0"/>
                <w:szCs w:val="21"/>
                <w:lang w:val="en-US" w:eastAsia="zh-CN"/>
                <w14:ligatures w14:val="none"/>
              </w:rPr>
              <w:t>250</w:t>
            </w:r>
          </w:p>
        </w:tc>
        <w:tc>
          <w:tcPr>
            <w:tcW w:w="5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矛盾河</w:t>
            </w:r>
          </w:p>
        </w:tc>
      </w:tr>
      <w:tr>
        <w:tblPrEx>
          <w:tblCellMar>
            <w:top w:w="0" w:type="dxa"/>
            <w:left w:w="23" w:type="dxa"/>
            <w:bottom w:w="0" w:type="dxa"/>
            <w:right w:w="23" w:type="dxa"/>
          </w:tblCellMar>
        </w:tblPrEx>
        <w:trPr>
          <w:trHeight w:val="366"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spacing w:val="0"/>
                <w:kern w:val="0"/>
                <w:sz w:val="21"/>
                <w:szCs w:val="21"/>
                <w14:ligatures w14:val="none"/>
              </w:rPr>
            </w:pPr>
            <w:r>
              <w:rPr>
                <w:rFonts w:hint="default" w:ascii="Times New Roman" w:hAnsi="Times New Roman" w:eastAsia="方正仿宋_GBK" w:cs="Times New Roman"/>
                <w:b w:val="0"/>
                <w:bCs w:val="0"/>
                <w:color w:val="000000"/>
                <w:spacing w:val="0"/>
                <w:kern w:val="0"/>
                <w:sz w:val="21"/>
                <w:szCs w:val="21"/>
                <w14:ligatures w14:val="none"/>
              </w:rPr>
              <w:t>桑墟镇工业园区</w:t>
            </w:r>
          </w:p>
        </w:tc>
        <w:tc>
          <w:tcPr>
            <w:tcW w:w="470"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5457</w:t>
            </w:r>
          </w:p>
        </w:tc>
        <w:tc>
          <w:tcPr>
            <w:tcW w:w="663"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桑墟岸线</w:t>
            </w:r>
          </w:p>
        </w:tc>
        <w:tc>
          <w:tcPr>
            <w:tcW w:w="357"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600</w:t>
            </w:r>
          </w:p>
        </w:tc>
        <w:tc>
          <w:tcPr>
            <w:tcW w:w="50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宿连航道</w:t>
            </w:r>
          </w:p>
        </w:tc>
      </w:tr>
      <w:tr>
        <w:tblPrEx>
          <w:tblCellMar>
            <w:top w:w="0" w:type="dxa"/>
            <w:left w:w="23" w:type="dxa"/>
            <w:bottom w:w="0" w:type="dxa"/>
            <w:right w:w="23" w:type="dxa"/>
          </w:tblCellMar>
        </w:tblPrEx>
        <w:trPr>
          <w:trHeight w:val="497"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泗阳县</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泗阳高新技术产业开发区</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w:t>
            </w:r>
            <w:r>
              <w:rPr>
                <w:rFonts w:hint="default" w:ascii="Times New Roman" w:hAnsi="Times New Roman" w:eastAsia="方正仿宋_GBK" w:cs="Times New Roman"/>
                <w:b w:val="0"/>
                <w:bCs w:val="0"/>
                <w:color w:val="000000"/>
                <w:spacing w:val="0"/>
                <w:sz w:val="21"/>
                <w:szCs w:val="21"/>
                <w14:ligatures w14:val="none"/>
              </w:rPr>
              <w:t>含吴江泗阳工业园</w:t>
            </w:r>
            <w:r>
              <w:rPr>
                <w:rFonts w:hint="default" w:ascii="Times New Roman" w:hAnsi="Times New Roman" w:eastAsia="方正仿宋_GBK" w:cs="Times New Roman"/>
                <w:b w:val="0"/>
                <w:bCs w:val="0"/>
                <w:spacing w:val="0"/>
                <w:kern w:val="0"/>
                <w:sz w:val="21"/>
                <w:szCs w:val="21"/>
                <w14:ligatures w14:val="none"/>
              </w:rPr>
              <w:t>）</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 xml:space="preserve">18547.2 </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二里桥岸线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lang w:val="zh-CN"/>
                <w14:ligatures w14:val="none"/>
              </w:rPr>
              <w:t>850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成子河</w:t>
            </w:r>
          </w:p>
        </w:tc>
      </w:tr>
      <w:tr>
        <w:tblPrEx>
          <w:tblCellMar>
            <w:top w:w="0" w:type="dxa"/>
            <w:left w:w="23" w:type="dxa"/>
            <w:bottom w:w="0" w:type="dxa"/>
            <w:right w:w="23" w:type="dxa"/>
          </w:tblCellMar>
        </w:tblPrEx>
        <w:trPr>
          <w:trHeight w:val="497"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泗洪县</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朱湖临港产业园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722.25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朱湖岸线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lang w:val="zh-CN"/>
                <w14:ligatures w14:val="none"/>
              </w:rPr>
            </w:pPr>
            <w:r>
              <w:rPr>
                <w:rFonts w:hint="default" w:ascii="Times New Roman" w:hAnsi="Times New Roman" w:eastAsia="等线" w:cs="Times New Roman"/>
                <w:b w:val="0"/>
                <w:bCs w:val="0"/>
                <w:color w:val="000000"/>
                <w:kern w:val="0"/>
                <w:szCs w:val="21"/>
                <w14:ligatures w14:val="none"/>
              </w:rPr>
              <w:t>2000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徐洪河</w:t>
            </w:r>
          </w:p>
        </w:tc>
      </w:tr>
      <w:tr>
        <w:tblPrEx>
          <w:tblCellMar>
            <w:top w:w="0" w:type="dxa"/>
            <w:left w:w="23" w:type="dxa"/>
            <w:bottom w:w="0" w:type="dxa"/>
            <w:right w:w="23" w:type="dxa"/>
          </w:tblCellMar>
        </w:tblPrEx>
        <w:trPr>
          <w:trHeight w:val="497" w:hRule="atLeast"/>
          <w:jc w:val="center"/>
        </w:trPr>
        <w:tc>
          <w:tcPr>
            <w:tcW w:w="444" w:type="pct"/>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restart"/>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宿城区</w:t>
            </w: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核心园区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运河宿迁港产业园</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（含恒力时尚产业园）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16432.95</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kern w:val="0"/>
                <w:szCs w:val="21"/>
                <w14:ligatures w14:val="none"/>
              </w:rPr>
              <w:t>宿迁中心港岸线、张圩干渠岸线</w:t>
            </w:r>
          </w:p>
        </w:tc>
        <w:tc>
          <w:tcPr>
            <w:tcW w:w="357" w:type="pct"/>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lang w:val="zh-CN"/>
                <w14:ligatures w14:val="none"/>
              </w:rPr>
            </w:pPr>
            <w:r>
              <w:rPr>
                <w:rFonts w:hint="default" w:ascii="Times New Roman" w:hAnsi="Times New Roman" w:eastAsia="等线" w:cs="Times New Roman"/>
                <w:b w:val="0"/>
                <w:bCs w:val="0"/>
                <w:kern w:val="0"/>
                <w:szCs w:val="21"/>
                <w14:ligatures w14:val="none"/>
              </w:rPr>
              <w:t>7502</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方正仿宋_GBK" w:cs="Times New Roman"/>
                <w:b w:val="0"/>
                <w:bCs w:val="0"/>
                <w:color w:val="000000"/>
                <w:kern w:val="0"/>
                <w:szCs w:val="21"/>
                <w14:ligatures w14:val="none"/>
              </w:rPr>
            </w:pPr>
            <w:r>
              <w:rPr>
                <w:rFonts w:hint="default" w:ascii="Times New Roman" w:hAnsi="Times New Roman" w:eastAsia="方正仿宋_GBK" w:cs="Times New Roman"/>
                <w:b w:val="0"/>
                <w:bCs w:val="0"/>
                <w:spacing w:val="-17"/>
                <w:kern w:val="0"/>
                <w:sz w:val="21"/>
                <w:szCs w:val="21"/>
                <w14:ligatures w14:val="none"/>
              </w:rPr>
              <w:t>京杭运河、张涧线</w:t>
            </w:r>
          </w:p>
        </w:tc>
      </w:tr>
      <w:tr>
        <w:tblPrEx>
          <w:tblCellMar>
            <w:top w:w="0" w:type="dxa"/>
            <w:left w:w="23" w:type="dxa"/>
            <w:bottom w:w="0" w:type="dxa"/>
            <w:right w:w="23" w:type="dxa"/>
          </w:tblCellMar>
        </w:tblPrEx>
        <w:trPr>
          <w:trHeight w:val="466" w:hRule="atLeast"/>
          <w:jc w:val="center"/>
        </w:trPr>
        <w:tc>
          <w:tcPr>
            <w:tcW w:w="444" w:type="pct"/>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20"/>
                <w:kern w:val="0"/>
                <w:szCs w:val="21"/>
                <w14:ligatures w14:val="none"/>
              </w:rPr>
            </w:pPr>
          </w:p>
        </w:tc>
        <w:tc>
          <w:tcPr>
            <w:tcW w:w="323"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395"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66" w:type="pct"/>
            <w:vMerge w:val="continue"/>
            <w:tcBorders>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Times New Roman" w:hAnsi="Times New Roman" w:eastAsia="等线" w:cs="Times New Roman"/>
                <w:b w:val="0"/>
                <w:bCs w:val="0"/>
                <w:kern w:val="0"/>
                <w:szCs w:val="21"/>
                <w14:ligatures w14:val="none"/>
              </w:rPr>
            </w:pPr>
          </w:p>
        </w:tc>
        <w:tc>
          <w:tcPr>
            <w:tcW w:w="41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辐射园区</w:t>
            </w:r>
          </w:p>
        </w:tc>
        <w:tc>
          <w:tcPr>
            <w:tcW w:w="96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spacing w:val="0"/>
                <w:kern w:val="0"/>
                <w:sz w:val="21"/>
                <w:szCs w:val="21"/>
                <w14:ligatures w14:val="none"/>
              </w:rPr>
            </w:pPr>
            <w:r>
              <w:rPr>
                <w:rFonts w:hint="default" w:ascii="Times New Roman" w:hAnsi="Times New Roman" w:eastAsia="方正仿宋_GBK" w:cs="Times New Roman"/>
                <w:b w:val="0"/>
                <w:bCs w:val="0"/>
                <w:spacing w:val="0"/>
                <w:kern w:val="0"/>
                <w:sz w:val="21"/>
                <w:szCs w:val="21"/>
                <w14:ligatures w14:val="none"/>
              </w:rPr>
              <w:t>龙河镇建材产业园</w:t>
            </w:r>
          </w:p>
        </w:tc>
        <w:tc>
          <w:tcPr>
            <w:tcW w:w="47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kern w:val="0"/>
                <w:szCs w:val="21"/>
                <w14:ligatures w14:val="none"/>
              </w:rPr>
            </w:pPr>
            <w:r>
              <w:rPr>
                <w:rFonts w:hint="default" w:ascii="Times New Roman" w:hAnsi="Times New Roman" w:eastAsia="等线" w:cs="Times New Roman"/>
                <w:b w:val="0"/>
                <w:bCs w:val="0"/>
                <w:kern w:val="0"/>
                <w:szCs w:val="21"/>
                <w14:ligatures w14:val="none"/>
              </w:rPr>
              <w:t xml:space="preserve">2266.4 </w:t>
            </w:r>
          </w:p>
        </w:tc>
        <w:tc>
          <w:tcPr>
            <w:tcW w:w="66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龙河岸线</w:t>
            </w:r>
          </w:p>
        </w:tc>
        <w:tc>
          <w:tcPr>
            <w:tcW w:w="35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等线" w:cs="Times New Roman"/>
                <w:b w:val="0"/>
                <w:bCs w:val="0"/>
                <w:color w:val="000000"/>
                <w:kern w:val="0"/>
                <w:szCs w:val="21"/>
                <w14:ligatures w14:val="none"/>
              </w:rPr>
              <w:t>650</w:t>
            </w:r>
          </w:p>
        </w:tc>
        <w:tc>
          <w:tcPr>
            <w:tcW w:w="50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等线" w:cs="Times New Roman"/>
                <w:b w:val="0"/>
                <w:bCs w:val="0"/>
                <w:color w:val="000000"/>
                <w:kern w:val="0"/>
                <w:szCs w:val="21"/>
                <w14:ligatures w14:val="none"/>
              </w:rPr>
            </w:pPr>
            <w:r>
              <w:rPr>
                <w:rFonts w:hint="default" w:ascii="Times New Roman" w:hAnsi="Times New Roman" w:eastAsia="方正仿宋_GBK" w:cs="Times New Roman"/>
                <w:b w:val="0"/>
                <w:bCs w:val="0"/>
                <w:color w:val="000000"/>
                <w:kern w:val="0"/>
                <w:szCs w:val="21"/>
                <w14:ligatures w14:val="none"/>
              </w:rPr>
              <w:t>徐洪河</w:t>
            </w:r>
          </w:p>
        </w:tc>
      </w:tr>
    </w:tbl>
    <w:p>
      <w:pPr>
        <w:pStyle w:val="11"/>
        <w:ind w:firstLine="640"/>
        <w:rPr>
          <w:rFonts w:hint="default" w:ascii="Times New Roman" w:hAnsi="Times New Roman" w:cs="Times New Roman"/>
          <w:b w:val="0"/>
          <w:bCs w:val="0"/>
        </w:rPr>
        <w:sectPr>
          <w:pgSz w:w="16838" w:h="11906" w:orient="landscape"/>
          <w:pgMar w:top="1361" w:right="1440" w:bottom="1361" w:left="144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default" w:ascii="Times New Roman" w:hAnsi="Times New Roman" w:eastAsia="方正仿宋_GBK" w:cs="Times New Roman"/>
          <w:b w:val="0"/>
          <w:bCs w:val="0"/>
          <w:sz w:val="32"/>
          <w:szCs w:val="32"/>
        </w:rPr>
      </w:pPr>
      <w:bookmarkStart w:id="294" w:name="_Toc16993"/>
      <w:r>
        <w:rPr>
          <w:rFonts w:hint="default" w:ascii="Times New Roman" w:hAnsi="Times New Roman" w:eastAsia="方正黑体_GBK" w:cs="Times New Roman"/>
          <w:b w:val="0"/>
          <w:bCs w:val="0"/>
          <w:sz w:val="32"/>
          <w:szCs w:val="32"/>
        </w:rPr>
        <w:t>附件2</w:t>
      </w:r>
      <w:bookmarkEnd w:id="294"/>
    </w:p>
    <w:p>
      <w:pPr>
        <w:keepNext w:val="0"/>
        <w:keepLines w:val="0"/>
        <w:pageBreakBefore w:val="0"/>
        <w:widowControl w:val="0"/>
        <w:kinsoku/>
        <w:wordWrap/>
        <w:overflowPunct/>
        <w:topLinePunct w:val="0"/>
        <w:autoSpaceDE/>
        <w:autoSpaceDN/>
        <w:bidi w:val="0"/>
        <w:adjustRightInd/>
        <w:snapToGrid/>
        <w:spacing w:after="157" w:afterLines="50" w:line="300" w:lineRule="exact"/>
        <w:jc w:val="center"/>
        <w:textAlignment w:val="auto"/>
        <w:outlineLvl w:val="0"/>
        <w:rPr>
          <w:rFonts w:hint="eastAsia" w:ascii="方正小标宋_GBK" w:hAnsi="方正小标宋_GBK" w:eastAsia="方正小标宋_GBK" w:cs="方正小标宋_GBK"/>
          <w:b w:val="0"/>
          <w:bCs w:val="0"/>
          <w:sz w:val="44"/>
          <w:szCs w:val="44"/>
        </w:rPr>
      </w:pPr>
      <w:bookmarkStart w:id="295" w:name="_Toc20382"/>
      <w:bookmarkStart w:id="296" w:name="_Hlk159340105"/>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outlineLvl w:val="0"/>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宿迁重点航道流经区县及园区布局发展的重点临港产业一览表</w:t>
      </w:r>
      <w:bookmarkEnd w:id="295"/>
    </w:p>
    <w:bookmarkEnd w:id="296"/>
    <w:tbl>
      <w:tblPr>
        <w:tblStyle w:val="27"/>
        <w:tblW w:w="48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652"/>
        <w:gridCol w:w="1204"/>
        <w:gridCol w:w="2766"/>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9"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主要航道</w:t>
            </w:r>
          </w:p>
        </w:tc>
        <w:tc>
          <w:tcPr>
            <w:tcW w:w="940"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主要流经区县</w:t>
            </w:r>
          </w:p>
        </w:tc>
        <w:tc>
          <w:tcPr>
            <w:tcW w:w="685"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园区类型</w:t>
            </w:r>
          </w:p>
        </w:tc>
        <w:tc>
          <w:tcPr>
            <w:tcW w:w="1574"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沿线主要园区</w:t>
            </w:r>
          </w:p>
        </w:tc>
        <w:tc>
          <w:tcPr>
            <w:tcW w:w="1069" w:type="pct"/>
            <w:vAlign w:val="center"/>
          </w:tcPr>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布局发展的</w:t>
            </w:r>
          </w:p>
          <w:p>
            <w:pPr>
              <w:spacing w:line="240" w:lineRule="exact"/>
              <w:jc w:val="center"/>
              <w:rPr>
                <w:rFonts w:hint="default" w:ascii="Times New Roman" w:hAnsi="Times New Roman" w:eastAsia="方正黑体_GBK" w:cs="Times New Roman"/>
                <w:b w:val="0"/>
                <w:bCs w:val="0"/>
                <w:szCs w:val="21"/>
              </w:rPr>
            </w:pPr>
            <w:r>
              <w:rPr>
                <w:rFonts w:hint="default" w:ascii="Times New Roman" w:hAnsi="Times New Roman" w:eastAsia="方正黑体_GBK" w:cs="Times New Roman"/>
                <w:b w:val="0"/>
                <w:bCs w:val="0"/>
                <w:szCs w:val="21"/>
              </w:rPr>
              <w:t>临港产业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9"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京杭运河</w:t>
            </w:r>
          </w:p>
        </w:tc>
        <w:tc>
          <w:tcPr>
            <w:tcW w:w="940"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泗阳县</w:t>
            </w:r>
          </w:p>
        </w:tc>
        <w:tc>
          <w:tcPr>
            <w:tcW w:w="685" w:type="pct"/>
            <w:vMerge w:val="restart"/>
            <w:vAlign w:val="center"/>
          </w:tcPr>
          <w:p>
            <w:pPr>
              <w:spacing w:line="240" w:lineRule="exact"/>
              <w:jc w:val="center"/>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szCs w:val="21"/>
              </w:rPr>
              <w:t>核心园区</w:t>
            </w:r>
          </w:p>
        </w:tc>
        <w:tc>
          <w:tcPr>
            <w:tcW w:w="1574"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泗阳高新技术产业开发区</w:t>
            </w:r>
          </w:p>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w:t>
            </w:r>
            <w:r>
              <w:rPr>
                <w:rFonts w:hint="default" w:ascii="Times New Roman" w:hAnsi="Times New Roman" w:eastAsia="方正仿宋_GBK" w:cs="Times New Roman"/>
                <w:b w:val="0"/>
                <w:bCs w:val="0"/>
                <w:color w:val="000000"/>
                <w:spacing w:val="-16"/>
                <w:szCs w:val="21"/>
                <w14:ligatures w14:val="none"/>
              </w:rPr>
              <w:t>含吴江泗阳工业园</w:t>
            </w:r>
            <w:r>
              <w:rPr>
                <w:rFonts w:hint="default" w:ascii="Times New Roman" w:hAnsi="Times New Roman" w:eastAsia="方正仿宋_GBK" w:cs="Times New Roman"/>
                <w:b w:val="0"/>
                <w:bCs w:val="0"/>
                <w:szCs w:val="21"/>
              </w:rPr>
              <w:t>）</w:t>
            </w:r>
          </w:p>
        </w:tc>
        <w:tc>
          <w:tcPr>
            <w:tcW w:w="1069" w:type="pct"/>
            <w:vAlign w:val="center"/>
          </w:tcPr>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高端纺织</w:t>
            </w:r>
          </w:p>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绿色家居</w:t>
            </w:r>
          </w:p>
          <w:p>
            <w:pPr>
              <w:pStyle w:val="39"/>
              <w:numPr>
                <w:ilvl w:val="0"/>
                <w:numId w:val="7"/>
              </w:numPr>
              <w:spacing w:line="240" w:lineRule="exact"/>
              <w:ind w:left="181" w:leftChars="0"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绿色建材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940"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685" w:type="pct"/>
            <w:vMerge w:val="continue"/>
            <w:vAlign w:val="center"/>
          </w:tcPr>
          <w:p>
            <w:pPr>
              <w:spacing w:line="240" w:lineRule="exact"/>
              <w:jc w:val="center"/>
              <w:rPr>
                <w:rFonts w:hint="default" w:ascii="Times New Roman" w:hAnsi="Times New Roman" w:eastAsia="方正仿宋_GBK" w:cs="Times New Roman"/>
                <w:b w:val="0"/>
                <w:bCs w:val="0"/>
                <w:kern w:val="0"/>
                <w:szCs w:val="21"/>
                <w14:ligatures w14:val="none"/>
              </w:rPr>
            </w:pPr>
          </w:p>
        </w:tc>
        <w:tc>
          <w:tcPr>
            <w:tcW w:w="1574" w:type="pct"/>
            <w:vAlign w:val="center"/>
          </w:tcPr>
          <w:p>
            <w:pPr>
              <w:spacing w:line="240" w:lineRule="exact"/>
              <w:jc w:val="center"/>
              <w:rPr>
                <w:rFonts w:hint="default" w:ascii="Times New Roman" w:hAnsi="Times New Roman" w:eastAsia="方正仿宋_GBK" w:cs="Times New Roman"/>
                <w:b w:val="0"/>
                <w:bCs w:val="0"/>
                <w:spacing w:val="-8"/>
                <w:kern w:val="0"/>
                <w:szCs w:val="21"/>
                <w14:ligatures w14:val="none"/>
              </w:rPr>
            </w:pPr>
            <w:r>
              <w:rPr>
                <w:rFonts w:hint="default" w:ascii="Times New Roman" w:hAnsi="Times New Roman" w:eastAsia="方正仿宋_GBK" w:cs="Times New Roman"/>
                <w:b w:val="0"/>
                <w:bCs w:val="0"/>
                <w:szCs w:val="21"/>
              </w:rPr>
              <w:t>泗阳经济开发区</w:t>
            </w:r>
          </w:p>
        </w:tc>
        <w:tc>
          <w:tcPr>
            <w:tcW w:w="1069" w:type="pct"/>
            <w:vAlign w:val="center"/>
          </w:tcPr>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高端纺织</w:t>
            </w:r>
          </w:p>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绿色家居</w:t>
            </w:r>
          </w:p>
          <w:p>
            <w:pPr>
              <w:pStyle w:val="39"/>
              <w:numPr>
                <w:ilvl w:val="0"/>
                <w:numId w:val="7"/>
              </w:numPr>
              <w:spacing w:line="240" w:lineRule="exact"/>
              <w:ind w:left="181" w:leftChars="0"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绿色循环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94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宿豫区</w:t>
            </w:r>
          </w:p>
        </w:tc>
        <w:tc>
          <w:tcPr>
            <w:tcW w:w="685"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核心园区</w:t>
            </w:r>
          </w:p>
        </w:tc>
        <w:tc>
          <w:tcPr>
            <w:tcW w:w="1574"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宿迁高新技术产业开发区</w:t>
            </w:r>
          </w:p>
        </w:tc>
        <w:tc>
          <w:tcPr>
            <w:tcW w:w="1069" w:type="pct"/>
            <w:vAlign w:val="center"/>
          </w:tcPr>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新能源</w:t>
            </w:r>
          </w:p>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新材料</w:t>
            </w:r>
          </w:p>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940"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宿城区</w:t>
            </w:r>
          </w:p>
        </w:tc>
        <w:tc>
          <w:tcPr>
            <w:tcW w:w="685" w:type="pct"/>
            <w:vAlign w:val="center"/>
          </w:tcPr>
          <w:p>
            <w:pPr>
              <w:widowControl/>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核心园区</w:t>
            </w:r>
          </w:p>
        </w:tc>
        <w:tc>
          <w:tcPr>
            <w:tcW w:w="1574" w:type="pct"/>
            <w:vAlign w:val="center"/>
          </w:tcPr>
          <w:p>
            <w:pPr>
              <w:widowControl/>
              <w:spacing w:line="240" w:lineRule="exact"/>
              <w:jc w:val="center"/>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运河宿迁港产业园</w:t>
            </w:r>
          </w:p>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kern w:val="0"/>
                <w:szCs w:val="21"/>
                <w14:ligatures w14:val="none"/>
              </w:rPr>
              <w:t>（含恒力时尚产业园）</w:t>
            </w:r>
          </w:p>
        </w:tc>
        <w:tc>
          <w:tcPr>
            <w:tcW w:w="1069" w:type="pct"/>
            <w:vAlign w:val="center"/>
          </w:tcPr>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高端纺织</w:t>
            </w:r>
          </w:p>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绿色建材</w:t>
            </w:r>
          </w:p>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新能源</w:t>
            </w:r>
          </w:p>
          <w:p>
            <w:pPr>
              <w:pStyle w:val="39"/>
              <w:numPr>
                <w:ilvl w:val="0"/>
                <w:numId w:val="7"/>
              </w:numPr>
              <w:spacing w:line="240" w:lineRule="exact"/>
              <w:ind w:left="181" w:leftChars="0"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940"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685" w:type="pct"/>
            <w:vAlign w:val="center"/>
          </w:tcPr>
          <w:p>
            <w:pPr>
              <w:widowControl/>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辐射园区</w:t>
            </w:r>
          </w:p>
        </w:tc>
        <w:tc>
          <w:tcPr>
            <w:tcW w:w="1574" w:type="pct"/>
            <w:vAlign w:val="center"/>
          </w:tcPr>
          <w:p>
            <w:pPr>
              <w:widowControl/>
              <w:spacing w:line="240" w:lineRule="exact"/>
              <w:jc w:val="center"/>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宿城经济开发区</w:t>
            </w:r>
          </w:p>
          <w:p>
            <w:pPr>
              <w:widowControl/>
              <w:spacing w:line="240" w:lineRule="exact"/>
              <w:ind w:left="-105" w:leftChars="-50" w:right="-105" w:rightChars="-50"/>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pacing w:val="-8"/>
                <w:kern w:val="0"/>
                <w:szCs w:val="21"/>
                <w14:ligatures w14:val="none"/>
              </w:rPr>
              <w:t>（南片区，含恒力工业园）</w:t>
            </w:r>
          </w:p>
        </w:tc>
        <w:tc>
          <w:tcPr>
            <w:tcW w:w="1069" w:type="pct"/>
            <w:vAlign w:val="center"/>
          </w:tcPr>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高端纺织</w:t>
            </w:r>
          </w:p>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新材料</w:t>
            </w:r>
          </w:p>
          <w:p>
            <w:pPr>
              <w:pStyle w:val="39"/>
              <w:numPr>
                <w:ilvl w:val="0"/>
                <w:numId w:val="7"/>
              </w:numPr>
              <w:spacing w:line="240" w:lineRule="exact"/>
              <w:ind w:left="181" w:leftChars="0"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94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宿迁经开区</w:t>
            </w:r>
          </w:p>
        </w:tc>
        <w:tc>
          <w:tcPr>
            <w:tcW w:w="685"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辐射园区</w:t>
            </w:r>
          </w:p>
        </w:tc>
        <w:tc>
          <w:tcPr>
            <w:tcW w:w="1574" w:type="pct"/>
            <w:vAlign w:val="center"/>
          </w:tcPr>
          <w:p>
            <w:pPr>
              <w:spacing w:line="240" w:lineRule="exact"/>
              <w:jc w:val="center"/>
              <w:rPr>
                <w:rFonts w:hint="default" w:ascii="Times New Roman" w:hAnsi="Times New Roman" w:eastAsia="方正仿宋_GBK" w:cs="Times New Roman"/>
                <w:b w:val="0"/>
                <w:bCs w:val="0"/>
                <w:spacing w:val="-8"/>
                <w:kern w:val="0"/>
                <w:szCs w:val="21"/>
                <w14:ligatures w14:val="none"/>
              </w:rPr>
            </w:pPr>
            <w:r>
              <w:rPr>
                <w:rFonts w:hint="default" w:ascii="Times New Roman" w:hAnsi="Times New Roman" w:eastAsia="方正仿宋_GBK" w:cs="Times New Roman"/>
                <w:b w:val="0"/>
                <w:bCs w:val="0"/>
                <w:szCs w:val="21"/>
              </w:rPr>
              <w:t>宿迁经济技术开发区</w:t>
            </w:r>
          </w:p>
        </w:tc>
        <w:tc>
          <w:tcPr>
            <w:tcW w:w="1069" w:type="pct"/>
            <w:vAlign w:val="center"/>
          </w:tcPr>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绿色食品</w:t>
            </w:r>
          </w:p>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新能源</w:t>
            </w:r>
          </w:p>
          <w:p>
            <w:pPr>
              <w:pStyle w:val="39"/>
              <w:numPr>
                <w:ilvl w:val="0"/>
                <w:numId w:val="7"/>
              </w:numPr>
              <w:spacing w:line="240" w:lineRule="exact"/>
              <w:ind w:left="181" w:leftChars="0"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940" w:type="pct"/>
            <w:vAlign w:val="center"/>
          </w:tcPr>
          <w:p>
            <w:pPr>
              <w:spacing w:line="240" w:lineRule="exact"/>
              <w:jc w:val="center"/>
              <w:rPr>
                <w:rFonts w:hint="eastAsia" w:ascii="Times New Roman" w:hAnsi="Times New Roman" w:eastAsia="方正仿宋_GBK" w:cs="Times New Roman"/>
                <w:b w:val="0"/>
                <w:bCs w:val="0"/>
                <w:szCs w:val="21"/>
                <w:lang w:eastAsia="zh-CN"/>
              </w:rPr>
            </w:pPr>
            <w:r>
              <w:rPr>
                <w:rFonts w:hint="eastAsia" w:ascii="Times New Roman" w:hAnsi="Times New Roman" w:eastAsia="方正仿宋_GBK" w:cs="Times New Roman"/>
                <w:b w:val="0"/>
                <w:bCs w:val="0"/>
                <w:szCs w:val="21"/>
                <w:lang w:eastAsia="zh-CN"/>
              </w:rPr>
              <w:t>市洋河新区</w:t>
            </w:r>
          </w:p>
        </w:tc>
        <w:tc>
          <w:tcPr>
            <w:tcW w:w="685" w:type="pct"/>
            <w:vAlign w:val="center"/>
          </w:tcPr>
          <w:p>
            <w:pPr>
              <w:widowControl/>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核心园区</w:t>
            </w:r>
          </w:p>
        </w:tc>
        <w:tc>
          <w:tcPr>
            <w:tcW w:w="1574" w:type="pct"/>
            <w:vAlign w:val="center"/>
          </w:tcPr>
          <w:p>
            <w:pPr>
              <w:widowControl/>
              <w:spacing w:line="240" w:lineRule="exact"/>
              <w:jc w:val="center"/>
              <w:rPr>
                <w:rFonts w:hint="default" w:ascii="Times New Roman" w:hAnsi="Times New Roman" w:eastAsia="方正仿宋_GBK" w:cs="Times New Roman"/>
                <w:b w:val="0"/>
                <w:bCs w:val="0"/>
                <w:kern w:val="0"/>
                <w:szCs w:val="21"/>
                <w14:ligatures w14:val="none"/>
              </w:rPr>
            </w:pPr>
            <w:r>
              <w:rPr>
                <w:rFonts w:hint="default" w:ascii="Times New Roman" w:hAnsi="Times New Roman" w:eastAsia="方正仿宋_GBK" w:cs="Times New Roman"/>
                <w:b w:val="0"/>
                <w:bCs w:val="0"/>
                <w:kern w:val="0"/>
                <w:szCs w:val="21"/>
                <w14:ligatures w14:val="none"/>
              </w:rPr>
              <w:t>洋河临港产业园</w:t>
            </w:r>
          </w:p>
        </w:tc>
        <w:tc>
          <w:tcPr>
            <w:tcW w:w="1069" w:type="pct"/>
            <w:vAlign w:val="center"/>
          </w:tcPr>
          <w:p>
            <w:pPr>
              <w:pStyle w:val="39"/>
              <w:numPr>
                <w:ilvl w:val="0"/>
                <w:numId w:val="7"/>
              </w:numPr>
              <w:spacing w:line="240" w:lineRule="exact"/>
              <w:ind w:left="181" w:leftChars="0"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绿色食品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29"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宿连航道</w:t>
            </w:r>
          </w:p>
        </w:tc>
        <w:tc>
          <w:tcPr>
            <w:tcW w:w="940"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沭阳县</w:t>
            </w:r>
          </w:p>
        </w:tc>
        <w:tc>
          <w:tcPr>
            <w:tcW w:w="685"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核心园区</w:t>
            </w:r>
          </w:p>
        </w:tc>
        <w:tc>
          <w:tcPr>
            <w:tcW w:w="1574"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沭阳临港产业园</w:t>
            </w:r>
          </w:p>
        </w:tc>
        <w:tc>
          <w:tcPr>
            <w:tcW w:w="1069" w:type="pct"/>
            <w:vAlign w:val="center"/>
          </w:tcPr>
          <w:p>
            <w:pPr>
              <w:pStyle w:val="39"/>
              <w:numPr>
                <w:ilvl w:val="0"/>
                <w:numId w:val="7"/>
              </w:numPr>
              <w:spacing w:line="240" w:lineRule="exact"/>
              <w:ind w:left="181" w:leftChars="0"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高端纺织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940"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宿豫区</w:t>
            </w:r>
          </w:p>
        </w:tc>
        <w:tc>
          <w:tcPr>
            <w:tcW w:w="685"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核心园区</w:t>
            </w:r>
          </w:p>
        </w:tc>
        <w:tc>
          <w:tcPr>
            <w:tcW w:w="1574"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陆集临港产业园</w:t>
            </w:r>
          </w:p>
        </w:tc>
        <w:tc>
          <w:tcPr>
            <w:tcW w:w="1069" w:type="pct"/>
            <w:vAlign w:val="center"/>
          </w:tcPr>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新材料</w:t>
            </w:r>
          </w:p>
          <w:p>
            <w:pPr>
              <w:pStyle w:val="39"/>
              <w:numPr>
                <w:ilvl w:val="0"/>
                <w:numId w:val="7"/>
              </w:numPr>
              <w:spacing w:line="240" w:lineRule="exact"/>
              <w:ind w:left="181" w:leftChars="0"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2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940"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685"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1574"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来龙工业园</w:t>
            </w:r>
          </w:p>
        </w:tc>
        <w:tc>
          <w:tcPr>
            <w:tcW w:w="1069" w:type="pct"/>
            <w:vAlign w:val="center"/>
          </w:tcPr>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新材料</w:t>
            </w:r>
          </w:p>
          <w:p>
            <w:pPr>
              <w:pStyle w:val="39"/>
              <w:numPr>
                <w:ilvl w:val="0"/>
                <w:numId w:val="7"/>
              </w:numPr>
              <w:spacing w:line="240" w:lineRule="exact"/>
              <w:ind w:left="181" w:leftChars="0"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绿色循环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72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940"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685"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辐射园区</w:t>
            </w:r>
          </w:p>
        </w:tc>
        <w:tc>
          <w:tcPr>
            <w:tcW w:w="1574"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宿迁生态化工科技产业园</w:t>
            </w:r>
          </w:p>
        </w:tc>
        <w:tc>
          <w:tcPr>
            <w:tcW w:w="1069" w:type="pct"/>
            <w:vAlign w:val="center"/>
          </w:tcPr>
          <w:p>
            <w:pPr>
              <w:pStyle w:val="39"/>
              <w:numPr>
                <w:ilvl w:val="0"/>
                <w:numId w:val="7"/>
              </w:numPr>
              <w:spacing w:line="240" w:lineRule="exact"/>
              <w:ind w:left="181" w:leftChars="0"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29"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徐洪河</w:t>
            </w:r>
          </w:p>
        </w:tc>
        <w:tc>
          <w:tcPr>
            <w:tcW w:w="940" w:type="pct"/>
            <w:vMerge w:val="restar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泗洪县</w:t>
            </w:r>
          </w:p>
        </w:tc>
        <w:tc>
          <w:tcPr>
            <w:tcW w:w="685"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核心园区</w:t>
            </w:r>
          </w:p>
        </w:tc>
        <w:tc>
          <w:tcPr>
            <w:tcW w:w="1574"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朱湖临港产业园</w:t>
            </w:r>
          </w:p>
        </w:tc>
        <w:tc>
          <w:tcPr>
            <w:tcW w:w="1069" w:type="pct"/>
            <w:vAlign w:val="center"/>
          </w:tcPr>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绿色建材</w:t>
            </w:r>
          </w:p>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940"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685"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辐射园区</w:t>
            </w:r>
          </w:p>
        </w:tc>
        <w:tc>
          <w:tcPr>
            <w:tcW w:w="1574"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泗洪经济开发区</w:t>
            </w:r>
          </w:p>
        </w:tc>
        <w:tc>
          <w:tcPr>
            <w:tcW w:w="1069" w:type="pct"/>
            <w:vAlign w:val="center"/>
          </w:tcPr>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新能源</w:t>
            </w:r>
          </w:p>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新材料</w:t>
            </w:r>
          </w:p>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装备制造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9" w:type="pct"/>
            <w:vMerge w:val="continue"/>
            <w:vAlign w:val="center"/>
          </w:tcPr>
          <w:p>
            <w:pPr>
              <w:spacing w:line="240" w:lineRule="exact"/>
              <w:jc w:val="center"/>
              <w:rPr>
                <w:rFonts w:hint="default" w:ascii="Times New Roman" w:hAnsi="Times New Roman" w:eastAsia="方正仿宋_GBK" w:cs="Times New Roman"/>
                <w:b w:val="0"/>
                <w:bCs w:val="0"/>
                <w:szCs w:val="21"/>
              </w:rPr>
            </w:pPr>
          </w:p>
        </w:tc>
        <w:tc>
          <w:tcPr>
            <w:tcW w:w="94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宿城区</w:t>
            </w:r>
          </w:p>
        </w:tc>
        <w:tc>
          <w:tcPr>
            <w:tcW w:w="685"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辐射园区</w:t>
            </w:r>
          </w:p>
        </w:tc>
        <w:tc>
          <w:tcPr>
            <w:tcW w:w="1574"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龙河镇建材产业园</w:t>
            </w:r>
          </w:p>
        </w:tc>
        <w:tc>
          <w:tcPr>
            <w:tcW w:w="1069" w:type="pct"/>
            <w:vAlign w:val="center"/>
          </w:tcPr>
          <w:p>
            <w:pPr>
              <w:pStyle w:val="39"/>
              <w:numPr>
                <w:ilvl w:val="0"/>
                <w:numId w:val="7"/>
              </w:numPr>
              <w:spacing w:line="240" w:lineRule="exact"/>
              <w:ind w:left="181" w:leftChars="0"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绿色建材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29"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成子河</w:t>
            </w:r>
          </w:p>
        </w:tc>
        <w:tc>
          <w:tcPr>
            <w:tcW w:w="94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泗阳县</w:t>
            </w:r>
          </w:p>
        </w:tc>
        <w:tc>
          <w:tcPr>
            <w:tcW w:w="685"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核心园区</w:t>
            </w:r>
          </w:p>
        </w:tc>
        <w:tc>
          <w:tcPr>
            <w:tcW w:w="1574"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泗阳现代农业产业园</w:t>
            </w:r>
          </w:p>
        </w:tc>
        <w:tc>
          <w:tcPr>
            <w:tcW w:w="1069" w:type="pct"/>
            <w:vAlign w:val="center"/>
          </w:tcPr>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绿色食品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29"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怀洪新河</w:t>
            </w:r>
          </w:p>
        </w:tc>
        <w:tc>
          <w:tcPr>
            <w:tcW w:w="940"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泗洪县</w:t>
            </w:r>
          </w:p>
        </w:tc>
        <w:tc>
          <w:tcPr>
            <w:tcW w:w="685"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核心园区</w:t>
            </w:r>
          </w:p>
        </w:tc>
        <w:tc>
          <w:tcPr>
            <w:tcW w:w="1574" w:type="pct"/>
            <w:vAlign w:val="center"/>
          </w:tcPr>
          <w:p>
            <w:pPr>
              <w:spacing w:line="240" w:lineRule="exact"/>
              <w:jc w:val="center"/>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西南岗产业园</w:t>
            </w:r>
          </w:p>
        </w:tc>
        <w:tc>
          <w:tcPr>
            <w:tcW w:w="1069" w:type="pct"/>
            <w:vAlign w:val="center"/>
          </w:tcPr>
          <w:p>
            <w:pPr>
              <w:pStyle w:val="39"/>
              <w:numPr>
                <w:ilvl w:val="0"/>
                <w:numId w:val="7"/>
              </w:numPr>
              <w:spacing w:line="240" w:lineRule="exact"/>
              <w:ind w:left="181" w:hanging="181" w:firstLineChars="0"/>
              <w:rPr>
                <w:rFonts w:hint="default" w:ascii="Times New Roman" w:hAnsi="Times New Roman" w:eastAsia="方正仿宋_GBK" w:cs="Times New Roman"/>
                <w:b w:val="0"/>
                <w:bCs w:val="0"/>
                <w:szCs w:val="21"/>
              </w:rPr>
            </w:pPr>
            <w:r>
              <w:rPr>
                <w:rFonts w:hint="default" w:ascii="Times New Roman" w:hAnsi="Times New Roman" w:eastAsia="方正仿宋_GBK" w:cs="Times New Roman"/>
                <w:b w:val="0"/>
                <w:bCs w:val="0"/>
                <w:szCs w:val="21"/>
              </w:rPr>
              <w:t>绿色食品</w:t>
            </w:r>
          </w:p>
        </w:tc>
      </w:tr>
    </w:tbl>
    <w:p>
      <w:pPr>
        <w:rPr>
          <w:rFonts w:hint="default"/>
          <w:b w:val="0"/>
          <w:bCs w:val="0"/>
        </w:rPr>
      </w:pPr>
      <w:r>
        <w:rPr>
          <w:rFonts w:hint="default" w:ascii="Times New Roman" w:hAnsi="Times New Roman" w:cs="Times New Roman"/>
          <w:b w:val="0"/>
          <w:bCs w:val="0"/>
        </w:rPr>
        <w:br w:type="page"/>
      </w:r>
      <w:r>
        <w:rPr>
          <w:b w:val="0"/>
          <w:bCs w:val="0"/>
          <w:sz w:val="21"/>
        </w:rPr>
        <mc:AlternateContent>
          <mc:Choice Requires="wps">
            <w:drawing>
              <wp:anchor distT="0" distB="0" distL="114300" distR="114300" simplePos="0" relativeHeight="251662336" behindDoc="0" locked="0" layoutInCell="1" allowOverlap="1">
                <wp:simplePos x="0" y="0"/>
                <wp:positionH relativeFrom="column">
                  <wp:posOffset>4413885</wp:posOffset>
                </wp:positionH>
                <wp:positionV relativeFrom="paragraph">
                  <wp:posOffset>8237220</wp:posOffset>
                </wp:positionV>
                <wp:extent cx="1209675" cy="400050"/>
                <wp:effectExtent l="4445" t="4445" r="5080" b="6985"/>
                <wp:wrapNone/>
                <wp:docPr id="3" name="文本框 3"/>
                <wp:cNvGraphicFramePr/>
                <a:graphic xmlns:a="http://schemas.openxmlformats.org/drawingml/2006/main">
                  <a:graphicData uri="http://schemas.microsoft.com/office/word/2010/wordprocessingShape">
                    <wps:wsp>
                      <wps:cNvSpPr txBox="1"/>
                      <wps:spPr>
                        <a:xfrm>
                          <a:off x="5386070" y="9569450"/>
                          <a:ext cx="1209675" cy="4000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7.55pt;margin-top:648.6pt;height:31.5pt;width:95.25pt;z-index:251662336;mso-width-relative:page;mso-height-relative:page;" fillcolor="#FFFFFF [3201]" filled="t" stroked="t" coordsize="21600,21600" o:gfxdata="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ZG&#10;KLraAAAADQEAAA8AAAAAAAAAAQAgAAAAIgAAAGRycy9kb3ducmV2LnhtbFBLAQIUABQAAAAIAIdO&#10;4kBUAZZAWgIAAMQEAAAOAAAAAAAAAAEAIAAAACkBAABkcnMvZTJvRG9jLnhtbFBLBQYAAAAABgAG&#10;AFkBAAD1BQAAAAA=&#10;">
                <v:fill on="t" focussize="0,0"/>
                <v:stroke weight="0.5pt" color="#FFFFFF [3212]" joinstyle="round"/>
                <v:imagedata o:title=""/>
                <o:lock v:ext="edit" aspectratio="f"/>
                <v:textbox>
                  <w:txbxContent>
                    <w:p/>
                  </w:txbxContent>
                </v:textbox>
              </v:shape>
            </w:pict>
          </mc:Fallback>
        </mc:AlternateContent>
      </w:r>
    </w:p>
    <w:p>
      <w:pPr>
        <w:rPr>
          <w:rFonts w:hint="default"/>
          <w:b w:val="0"/>
          <w:bCs w:val="0"/>
        </w:rPr>
      </w:pPr>
    </w:p>
    <w:p>
      <w:pPr>
        <w:pStyle w:val="11"/>
        <w:rPr>
          <w:rFonts w:hint="default"/>
          <w:b w:val="0"/>
          <w:bCs w:val="0"/>
        </w:rPr>
      </w:pPr>
    </w:p>
    <w:p>
      <w:pPr>
        <w:rPr>
          <w:rFonts w:hint="default"/>
          <w:b w:val="0"/>
          <w:bCs w:val="0"/>
        </w:rPr>
      </w:pPr>
    </w:p>
    <w:p>
      <w:pPr>
        <w:pStyle w:val="7"/>
        <w:rPr>
          <w:b w:val="0"/>
          <w:bCs w:val="0"/>
        </w:rPr>
      </w:pPr>
    </w:p>
    <w:p>
      <w:pPr>
        <w:rPr>
          <w:b w:val="0"/>
          <w:bCs w:val="0"/>
        </w:rPr>
      </w:pPr>
    </w:p>
    <w:p>
      <w:pPr>
        <w:pStyle w:val="2"/>
        <w:rPr>
          <w:b w:val="0"/>
          <w:bCs w:val="0"/>
        </w:rPr>
      </w:pPr>
    </w:p>
    <w:p>
      <w:pPr>
        <w:pStyle w:val="5"/>
        <w:rPr>
          <w:b w:val="0"/>
          <w:bCs w:val="0"/>
        </w:rPr>
      </w:pPr>
    </w:p>
    <w:p>
      <w:pPr>
        <w:pStyle w:val="5"/>
        <w:rPr>
          <w:b w:val="0"/>
          <w:bCs w:val="0"/>
        </w:rPr>
      </w:pPr>
    </w:p>
    <w:p>
      <w:pPr>
        <w:pStyle w:val="5"/>
        <w:rPr>
          <w:b w:val="0"/>
          <w:bCs w:val="0"/>
        </w:rPr>
      </w:pPr>
    </w:p>
    <w:p>
      <w:pPr>
        <w:pStyle w:val="5"/>
        <w:rPr>
          <w:b w:val="0"/>
          <w:bCs w:val="0"/>
        </w:rPr>
      </w:pPr>
    </w:p>
    <w:p>
      <w:pPr>
        <w:pStyle w:val="5"/>
        <w:rPr>
          <w:b w:val="0"/>
          <w:bCs w:val="0"/>
        </w:rPr>
      </w:pPr>
    </w:p>
    <w:p>
      <w:pPr>
        <w:pStyle w:val="5"/>
        <w:rPr>
          <w:b w:val="0"/>
          <w:bCs w:val="0"/>
        </w:rPr>
      </w:pPr>
    </w:p>
    <w:p>
      <w:pPr>
        <w:pStyle w:val="5"/>
        <w:rPr>
          <w:b w:val="0"/>
          <w:bCs w:val="0"/>
        </w:rPr>
      </w:pPr>
    </w:p>
    <w:p>
      <w:pPr>
        <w:pStyle w:val="5"/>
        <w:rPr>
          <w:b w:val="0"/>
          <w:bCs w:val="0"/>
        </w:rPr>
      </w:pPr>
    </w:p>
    <w:p>
      <w:pPr>
        <w:pStyle w:val="5"/>
        <w:rPr>
          <w:b w:val="0"/>
          <w:bCs w:val="0"/>
        </w:rPr>
      </w:pPr>
    </w:p>
    <w:p>
      <w:pPr>
        <w:pStyle w:val="5"/>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r>
        <w:rPr>
          <w:b w:val="0"/>
          <w:bCs w:val="0"/>
          <w:sz w:val="21"/>
        </w:rPr>
        <mc:AlternateContent>
          <mc:Choice Requires="wps">
            <w:drawing>
              <wp:anchor distT="0" distB="0" distL="114300" distR="114300" simplePos="0" relativeHeight="251665408" behindDoc="0" locked="0" layoutInCell="1" allowOverlap="1">
                <wp:simplePos x="0" y="0"/>
                <wp:positionH relativeFrom="column">
                  <wp:posOffset>4660265</wp:posOffset>
                </wp:positionH>
                <wp:positionV relativeFrom="paragraph">
                  <wp:posOffset>213360</wp:posOffset>
                </wp:positionV>
                <wp:extent cx="1209675" cy="400050"/>
                <wp:effectExtent l="4445" t="4445" r="5080" b="6985"/>
                <wp:wrapNone/>
                <wp:docPr id="1" name="文本框 1"/>
                <wp:cNvGraphicFramePr/>
                <a:graphic xmlns:a="http://schemas.openxmlformats.org/drawingml/2006/main">
                  <a:graphicData uri="http://schemas.microsoft.com/office/word/2010/wordprocessingShape">
                    <wps:wsp>
                      <wps:cNvSpPr txBox="1"/>
                      <wps:spPr>
                        <a:xfrm>
                          <a:off x="0" y="0"/>
                          <a:ext cx="1209675" cy="4000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95pt;margin-top:16.8pt;height:31.5pt;width:95.25pt;z-index:251665408;mso-width-relative:page;mso-height-relative:page;" fillcolor="#FFFFFF [3201]" filled="t" stroked="t" coordsize="21600,21600" o:gfxdata="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iP3H9kAAAAJAQAADwAA&#10;AAAAAAABACAAAAAiAAAAZHJzL2Rvd25yZXYueG1sUEsBAhQAFAAAAAgAh07iQLwwlm5OAgAAuAQA&#10;AA4AAAAAAAAAAQAgAAAAKAEAAGRycy9lMm9Eb2MueG1sUEsFBgAAAAAGAAYAWQEAAOgFAAAAAA==&#10;">
                <v:fill on="t" focussize="0,0"/>
                <v:stroke weight="0.5pt" color="#FFFFFF [3212]" joinstyle="round"/>
                <v:imagedata o:title=""/>
                <o:lock v:ext="edit" aspectratio="f"/>
                <v:textbox>
                  <w:txbxContent>
                    <w:p/>
                  </w:txbxContent>
                </v:textbox>
              </v:shape>
            </w:pict>
          </mc:Fallback>
        </mc:AlternateContent>
      </w: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pStyle w:val="5"/>
        <w:keepNext w:val="0"/>
        <w:keepLines w:val="0"/>
        <w:pageBreakBefore w:val="0"/>
        <w:widowControl w:val="0"/>
        <w:kinsoku/>
        <w:wordWrap/>
        <w:overflowPunct/>
        <w:topLinePunct w:val="0"/>
        <w:autoSpaceDE/>
        <w:autoSpaceDN/>
        <w:bidi w:val="0"/>
        <w:adjustRightInd/>
        <w:snapToGrid/>
        <w:spacing w:line="340" w:lineRule="exact"/>
        <w:textAlignment w:val="baseline"/>
        <w:rPr>
          <w:b w:val="0"/>
          <w:bCs w:val="0"/>
        </w:rPr>
      </w:pPr>
    </w:p>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b w:val="0"/>
          <w:bCs w:val="0"/>
        </w:rPr>
      </w:pPr>
    </w:p>
    <w:p>
      <w:pPr>
        <w:pStyle w:val="2"/>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b w:val="0"/>
          <w:bCs w:val="0"/>
        </w:rPr>
      </w:pPr>
    </w:p>
    <w:p>
      <w:pPr>
        <w:spacing w:line="580" w:lineRule="exact"/>
        <w:ind w:firstLine="210" w:firstLineChars="100"/>
        <w:rPr>
          <w:rFonts w:hint="default" w:ascii="Times New Roman" w:hAnsi="Times New Roman" w:eastAsia="方正仿宋_GBK" w:cs="Times New Roman"/>
          <w:b w:val="0"/>
          <w:bCs w:val="0"/>
          <w:color w:val="auto"/>
          <w:spacing w:val="-2"/>
          <w:sz w:val="28"/>
          <w:szCs w:val="28"/>
        </w:rPr>
      </w:pPr>
      <w:r>
        <w:rPr>
          <w:rFonts w:hint="default" w:ascii="Times New Roman" w:hAnsi="Times New Roman" w:cs="Times New Roman"/>
          <w:b w:val="0"/>
          <w:bCs w:val="0"/>
          <w:color w:val="auto"/>
        </w:rPr>
        <mc:AlternateContent>
          <mc:Choice Requires="wps">
            <w:drawing>
              <wp:anchor distT="0" distB="0" distL="114300" distR="114300" simplePos="0" relativeHeight="251659264" behindDoc="0" locked="1" layoutInCell="1" allowOverlap="1">
                <wp:simplePos x="0" y="0"/>
                <wp:positionH relativeFrom="column">
                  <wp:posOffset>6350</wp:posOffset>
                </wp:positionH>
                <wp:positionV relativeFrom="paragraph">
                  <wp:posOffset>31115</wp:posOffset>
                </wp:positionV>
                <wp:extent cx="5609590" cy="2540"/>
                <wp:effectExtent l="0" t="7620" r="13970" b="12700"/>
                <wp:wrapNone/>
                <wp:docPr id="4" name="直接连接符 4"/>
                <wp:cNvGraphicFramePr/>
                <a:graphic xmlns:a="http://schemas.openxmlformats.org/drawingml/2006/main">
                  <a:graphicData uri="http://schemas.microsoft.com/office/word/2010/wordprocessingShape">
                    <wps:wsp>
                      <wps:cNvCnPr/>
                      <wps:spPr>
                        <a:xfrm>
                          <a:off x="0" y="0"/>
                          <a:ext cx="5609590" cy="254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5pt;margin-top:2.45pt;height:0.2pt;width:441.7pt;z-index:251659264;mso-width-relative:page;mso-height-relative:page;" filled="f" stroked="t" coordsize="21600,21600" o:gfxdata="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4CGvnVAAAABQEAAA8AAAAAAAAAAQAgAAAAIgAAAGRycy9kb3ducmV2LnhtbFBLAQIU&#10;ABQAAAAIAIdO4kCLTB819gEAAOoDAAAOAAAAAAAAAAEAIAAAACQBAABkcnMvZTJvRG9jLnhtbFBL&#10;BQYAAAAABgAGAFkBAACMBQAAAAA=&#10;">
                <v:fill on="f" focussize="0,0"/>
                <v:stroke weight="1.25pt" color="#000000" joinstyle="round"/>
                <v:imagedata o:title=""/>
                <o:lock v:ext="edit" aspectratio="f"/>
                <w10:anchorlock/>
              </v:line>
            </w:pict>
          </mc:Fallback>
        </mc:AlternateContent>
      </w:r>
      <w:r>
        <w:rPr>
          <w:rFonts w:hint="default" w:ascii="Times New Roman" w:hAnsi="Times New Roman" w:eastAsia="方正仿宋_GBK" w:cs="Times New Roman"/>
          <w:b w:val="0"/>
          <w:bCs w:val="0"/>
          <w:color w:val="auto"/>
          <w:sz w:val="28"/>
          <w:szCs w:val="28"/>
        </w:rPr>
        <w:t>抄送：</w:t>
      </w:r>
      <w:r>
        <w:rPr>
          <w:rFonts w:hint="default" w:ascii="Times New Roman" w:hAnsi="Times New Roman" w:eastAsia="方正仿宋_GBK" w:cs="Times New Roman"/>
          <w:b w:val="0"/>
          <w:bCs w:val="0"/>
          <w:color w:val="auto"/>
          <w:spacing w:val="-2"/>
          <w:sz w:val="28"/>
          <w:szCs w:val="28"/>
        </w:rPr>
        <w:t>市</w:t>
      </w:r>
      <w:r>
        <w:rPr>
          <w:rFonts w:hint="default" w:ascii="Times New Roman" w:hAnsi="Times New Roman" w:eastAsia="方正仿宋_GBK" w:cs="Times New Roman"/>
          <w:b w:val="0"/>
          <w:bCs w:val="0"/>
          <w:color w:val="auto"/>
          <w:spacing w:val="-4"/>
          <w:sz w:val="28"/>
          <w:szCs w:val="28"/>
        </w:rPr>
        <w:t>委各部委办，市人大常委会办公室，市政协办公室，市监委，</w:t>
      </w:r>
    </w:p>
    <w:p>
      <w:pPr>
        <w:spacing w:line="580" w:lineRule="exact"/>
        <w:ind w:left="0" w:leftChars="0" w:firstLine="1079" w:firstLineChars="391"/>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pacing w:val="-2"/>
          <w:sz w:val="28"/>
          <w:szCs w:val="28"/>
        </w:rPr>
        <w:t>市法院，</w:t>
      </w:r>
      <w:r>
        <w:rPr>
          <w:rFonts w:hint="default" w:ascii="Times New Roman" w:hAnsi="Times New Roman" w:eastAsia="方正仿宋_GBK" w:cs="Times New Roman"/>
          <w:b w:val="0"/>
          <w:bCs w:val="0"/>
          <w:color w:val="auto"/>
          <w:sz w:val="28"/>
          <w:szCs w:val="28"/>
        </w:rPr>
        <w:t>市检察院，宿迁军分区。</w:t>
      </w:r>
    </w:p>
    <w:p>
      <w:pPr>
        <w:spacing w:line="580" w:lineRule="exact"/>
        <w:ind w:firstLine="210" w:firstLineChars="100"/>
        <w:jc w:val="left"/>
        <w:rPr>
          <w:rFonts w:hint="default"/>
          <w:b w:val="0"/>
          <w:bCs w:val="0"/>
        </w:rPr>
      </w:pPr>
      <w:r>
        <w:rPr>
          <w:b w:val="0"/>
          <w:bCs w:val="0"/>
          <w:sz w:val="21"/>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621665</wp:posOffset>
                </wp:positionV>
                <wp:extent cx="1209675" cy="400050"/>
                <wp:effectExtent l="4445" t="4445" r="5080" b="6985"/>
                <wp:wrapNone/>
                <wp:docPr id="6" name="文本框 6"/>
                <wp:cNvGraphicFramePr/>
                <a:graphic xmlns:a="http://schemas.openxmlformats.org/drawingml/2006/main">
                  <a:graphicData uri="http://schemas.microsoft.com/office/word/2010/wordprocessingShape">
                    <wps:wsp>
                      <wps:cNvSpPr txBox="1"/>
                      <wps:spPr>
                        <a:xfrm>
                          <a:off x="0" y="0"/>
                          <a:ext cx="1209675" cy="4000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5pt;margin-top:48.95pt;height:31.5pt;width:95.25pt;z-index:251663360;mso-width-relative:page;mso-height-relative:page;" fillcolor="#FFFFFF [3201]" filled="t" stroked="t" coordsize="21600,21600" o:gfxdata="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V0IXtgAAAAJAQAADwAA&#10;AAAAAAABACAAAAAiAAAAZHJzL2Rvd25yZXYueG1sUEsBAhQAFAAAAAgAh07iQAMxgeZPAgAAuAQA&#10;AA4AAAAAAAAAAQAgAAAAJwEAAGRycy9lMm9Eb2MueG1sUEsFBgAAAAAGAAYAWQEAAOgFAAAAAA==&#10;">
                <v:fill on="t" focussize="0,0"/>
                <v:stroke weight="0.5pt" color="#FFFFFF [3212]" joinstyle="round"/>
                <v:imagedata o:title=""/>
                <o:lock v:ext="edit" aspectratio="f"/>
                <v:textbox>
                  <w:txbxContent>
                    <w:p/>
                  </w:txbxContent>
                </v:textbox>
              </v:shape>
            </w:pict>
          </mc:Fallback>
        </mc:AlternateContent>
      </w:r>
      <w:r>
        <w:rPr>
          <w:rFonts w:hint="default" w:ascii="Times New Roman" w:hAnsi="Times New Roman" w:cs="Times New Roman"/>
          <w:b w:val="0"/>
          <w:bCs w:val="0"/>
          <w:color w:val="auto"/>
        </w:rPr>
        <mc:AlternateContent>
          <mc:Choice Requires="wps">
            <w:drawing>
              <wp:anchor distT="0" distB="0" distL="114300" distR="114300" simplePos="0" relativeHeight="251660288" behindDoc="0" locked="1" layoutInCell="1" allowOverlap="1">
                <wp:simplePos x="0" y="0"/>
                <wp:positionH relativeFrom="column">
                  <wp:posOffset>4445</wp:posOffset>
                </wp:positionH>
                <wp:positionV relativeFrom="paragraph">
                  <wp:posOffset>432435</wp:posOffset>
                </wp:positionV>
                <wp:extent cx="5611495" cy="2540"/>
                <wp:effectExtent l="0" t="7620" r="12065" b="12700"/>
                <wp:wrapNone/>
                <wp:docPr id="5" name="直接连接符 5"/>
                <wp:cNvGraphicFramePr/>
                <a:graphic xmlns:a="http://schemas.openxmlformats.org/drawingml/2006/main">
                  <a:graphicData uri="http://schemas.microsoft.com/office/word/2010/wordprocessingShape">
                    <wps:wsp>
                      <wps:cNvCnPr/>
                      <wps:spPr>
                        <a:xfrm>
                          <a:off x="0" y="0"/>
                          <a:ext cx="5611495" cy="2540"/>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35pt;margin-top:34.05pt;height:0.2pt;width:441.85pt;z-index:251660288;mso-width-relative:page;mso-height-relative:page;" filled="f" stroked="t" coordsize="21600,21600" o:gfxdata="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GCol9QAAAAGAQAADwAAAAAAAAABACAAAAAiAAAAZHJzL2Rvd25yZXYueG1sUEsBAhQA&#10;FAAAAAgAh07iQCDbGB/2AQAA6gMAAA4AAAAAAAAAAQAgAAAAIwEAAGRycy9lMm9Eb2MueG1sUEsF&#10;BgAAAAAGAAYAWQEAAIsFAAAAAA==&#10;">
                <v:fill on="f" focussize="0,0"/>
                <v:stroke weight="1.25pt" color="#000000" joinstyle="round"/>
                <v:imagedata o:title=""/>
                <o:lock v:ext="edit" aspectratio="f"/>
                <w10:anchorlock/>
              </v:line>
            </w:pict>
          </mc:Fallback>
        </mc:AlternateContent>
      </w:r>
      <w:r>
        <w:rPr>
          <w:rFonts w:hint="default" w:ascii="Times New Roman" w:hAnsi="Times New Roman" w:cs="Times New Roman"/>
          <w:b w:val="0"/>
          <w:bCs w:val="0"/>
          <w:color w:val="auto"/>
        </w:rP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50800</wp:posOffset>
                </wp:positionV>
                <wp:extent cx="5615940" cy="254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15940" cy="254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4pt;height:0.2pt;width:442.2pt;z-index:251661312;mso-width-relative:page;mso-height-relative:page;" filled="f" stroked="t" coordsize="21600,21600" o:gfxdata="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Z65SfTAAAABAEAAA8AAAAAAAAAAQAgAAAAIgAAAGRycy9kb3ducmV2LnhtbFBLAQIUABQAAAAI&#10;AIdO4kA2D9Uh8gEAAOkDAAAOAAAAAAAAAAEAIAAAACIBAABkcnMvZTJvRG9jLnhtbFBLBQYAAAAA&#10;BgAGAFkBAACGBQAAAAA=&#10;">
                <v:fill on="f" focussize="0,0"/>
                <v:stroke color="#000000" joinstyle="round"/>
                <v:imagedata o:title=""/>
                <o:lock v:ext="edit" aspectratio="f"/>
                <w10:anchorlock/>
              </v:line>
            </w:pict>
          </mc:Fallback>
        </mc:AlternateContent>
      </w:r>
      <w:r>
        <w:rPr>
          <w:rFonts w:hint="default" w:ascii="Times New Roman" w:hAnsi="Times New Roman" w:eastAsia="方正仿宋_GBK" w:cs="Times New Roman"/>
          <w:b w:val="0"/>
          <w:bCs w:val="0"/>
          <w:color w:val="auto"/>
          <w:sz w:val="28"/>
          <w:szCs w:val="28"/>
        </w:rPr>
        <w:t xml:space="preserve">宿迁市人民政府办公室 </w:t>
      </w:r>
      <w:r>
        <w:rPr>
          <w:rFonts w:hint="default" w:ascii="Times New Roman" w:hAnsi="Times New Roman" w:eastAsia="方正仿宋_GBK" w:cs="Times New Roman"/>
          <w:b w:val="0"/>
          <w:bCs w:val="0"/>
          <w:color w:val="auto"/>
          <w:sz w:val="28"/>
          <w:szCs w:val="28"/>
          <w:lang w:val="en-US" w:eastAsia="zh-CN"/>
        </w:rPr>
        <w:t xml:space="preserve">     </w:t>
      </w:r>
      <w:r>
        <w:rPr>
          <w:rFonts w:hint="eastAsia"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 xml:space="preserve">   </w:t>
      </w:r>
      <w:r>
        <w:rPr>
          <w:rFonts w:hint="eastAsia"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 xml:space="preserve">  </w:t>
      </w:r>
      <w:r>
        <w:rPr>
          <w:rFonts w:hint="default"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 xml:space="preserve">  202</w:t>
      </w:r>
      <w:r>
        <w:rPr>
          <w:rFonts w:hint="default" w:ascii="Times New Roman" w:hAnsi="Times New Roman" w:eastAsia="方正仿宋_GBK" w:cs="Times New Roman"/>
          <w:b w:val="0"/>
          <w:bCs w:val="0"/>
          <w:color w:val="auto"/>
          <w:sz w:val="28"/>
          <w:szCs w:val="28"/>
          <w:lang w:val="en-US" w:eastAsia="zh-CN"/>
        </w:rPr>
        <w:t>4</w:t>
      </w:r>
      <w:r>
        <w:rPr>
          <w:rFonts w:hint="default" w:ascii="Times New Roman" w:hAnsi="Times New Roman" w:eastAsia="方正仿宋_GBK" w:cs="Times New Roman"/>
          <w:b w:val="0"/>
          <w:bCs w:val="0"/>
          <w:color w:val="auto"/>
          <w:sz w:val="28"/>
          <w:szCs w:val="28"/>
        </w:rPr>
        <w:t>年</w:t>
      </w:r>
      <w:r>
        <w:rPr>
          <w:rFonts w:hint="eastAsia" w:ascii="Times New Roman" w:hAnsi="Times New Roman" w:eastAsia="方正仿宋_GBK" w:cs="Times New Roman"/>
          <w:b w:val="0"/>
          <w:bCs w:val="0"/>
          <w:color w:val="auto"/>
          <w:sz w:val="28"/>
          <w:szCs w:val="28"/>
          <w:lang w:val="en-US" w:eastAsia="zh-CN"/>
        </w:rPr>
        <w:t>3</w:t>
      </w:r>
      <w:r>
        <w:rPr>
          <w:rFonts w:hint="default" w:ascii="Times New Roman" w:hAnsi="Times New Roman" w:eastAsia="方正仿宋_GBK" w:cs="Times New Roman"/>
          <w:b w:val="0"/>
          <w:bCs w:val="0"/>
          <w:color w:val="auto"/>
          <w:sz w:val="28"/>
          <w:szCs w:val="28"/>
        </w:rPr>
        <w:t>月</w:t>
      </w:r>
      <w:r>
        <w:rPr>
          <w:rFonts w:hint="eastAsia" w:ascii="Times New Roman" w:hAnsi="Times New Roman" w:eastAsia="方正仿宋_GBK" w:cs="Times New Roman"/>
          <w:b w:val="0"/>
          <w:bCs w:val="0"/>
          <w:color w:val="auto"/>
          <w:sz w:val="28"/>
          <w:szCs w:val="28"/>
          <w:lang w:val="en-US" w:eastAsia="zh-CN"/>
        </w:rPr>
        <w:t>6</w:t>
      </w:r>
      <w:r>
        <w:rPr>
          <w:rFonts w:hint="default" w:ascii="Times New Roman" w:hAnsi="Times New Roman" w:eastAsia="方正仿宋_GBK" w:cs="Times New Roman"/>
          <w:b w:val="0"/>
          <w:bCs w:val="0"/>
          <w:color w:val="auto"/>
          <w:sz w:val="28"/>
          <w:szCs w:val="28"/>
        </w:rPr>
        <w:t>日印发</w:t>
      </w:r>
    </w:p>
    <w:sectPr>
      <w:pgSz w:w="11906" w:h="16838"/>
      <w:pgMar w:top="2098" w:right="1531" w:bottom="1928" w:left="1531" w:header="851" w:footer="1474"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37A47"/>
    <w:multiLevelType w:val="multilevel"/>
    <w:tmpl w:val="00137A47"/>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
    <w:nsid w:val="04C477FA"/>
    <w:multiLevelType w:val="multilevel"/>
    <w:tmpl w:val="04C477FA"/>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
    <w:nsid w:val="12FF6301"/>
    <w:multiLevelType w:val="multilevel"/>
    <w:tmpl w:val="12FF630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
    <w:nsid w:val="15D13766"/>
    <w:multiLevelType w:val="multilevel"/>
    <w:tmpl w:val="15D1376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D006759"/>
    <w:multiLevelType w:val="multilevel"/>
    <w:tmpl w:val="3D006759"/>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5">
    <w:nsid w:val="45AA4131"/>
    <w:multiLevelType w:val="multilevel"/>
    <w:tmpl w:val="45AA4131"/>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
    <w:nsid w:val="4C18125D"/>
    <w:multiLevelType w:val="singleLevel"/>
    <w:tmpl w:val="4C18125D"/>
    <w:lvl w:ilvl="0" w:tentative="0">
      <w:start w:val="1"/>
      <w:numFmt w:val="decimal"/>
      <w:suff w:val="space"/>
      <w:lvlText w:val="%1."/>
      <w:lvlJc w:val="left"/>
      <w:rPr>
        <w:rFonts w:hint="default" w:ascii="Times New Roman" w:hAnsi="Times New Roman" w:cs="Times New Roman"/>
        <w:color w:val="auto"/>
        <w:sz w:val="32"/>
        <w:szCs w:val="32"/>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autoHyphenation/>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xOTBjZWEwYWVlMThhMDUyMzVjMzBkMTZjMWYzNzEifQ=="/>
    <w:docVar w:name="KSO_WPS_MARK_KEY" w:val="a97dfab7-e888-46ac-a857-b158b1446c08"/>
  </w:docVars>
  <w:rsids>
    <w:rsidRoot w:val="00B75909"/>
    <w:rsid w:val="0000053C"/>
    <w:rsid w:val="00001572"/>
    <w:rsid w:val="00001585"/>
    <w:rsid w:val="00002163"/>
    <w:rsid w:val="000021C5"/>
    <w:rsid w:val="00002430"/>
    <w:rsid w:val="00002CD4"/>
    <w:rsid w:val="000031DF"/>
    <w:rsid w:val="000044F4"/>
    <w:rsid w:val="00005696"/>
    <w:rsid w:val="00005EDB"/>
    <w:rsid w:val="000063C0"/>
    <w:rsid w:val="00006586"/>
    <w:rsid w:val="000073EE"/>
    <w:rsid w:val="000074DE"/>
    <w:rsid w:val="00007978"/>
    <w:rsid w:val="00007A8A"/>
    <w:rsid w:val="00007E87"/>
    <w:rsid w:val="000105E2"/>
    <w:rsid w:val="0001195F"/>
    <w:rsid w:val="00011C3B"/>
    <w:rsid w:val="00012354"/>
    <w:rsid w:val="0001361C"/>
    <w:rsid w:val="00013EFD"/>
    <w:rsid w:val="00014A05"/>
    <w:rsid w:val="000165B7"/>
    <w:rsid w:val="00017085"/>
    <w:rsid w:val="000173D4"/>
    <w:rsid w:val="000215F0"/>
    <w:rsid w:val="000215F3"/>
    <w:rsid w:val="000217D2"/>
    <w:rsid w:val="000222A2"/>
    <w:rsid w:val="00023473"/>
    <w:rsid w:val="0002386B"/>
    <w:rsid w:val="00023937"/>
    <w:rsid w:val="000249AF"/>
    <w:rsid w:val="00025AFC"/>
    <w:rsid w:val="00025D89"/>
    <w:rsid w:val="000267F7"/>
    <w:rsid w:val="000268F0"/>
    <w:rsid w:val="00027F0B"/>
    <w:rsid w:val="0003019B"/>
    <w:rsid w:val="0003036A"/>
    <w:rsid w:val="00030B0A"/>
    <w:rsid w:val="00030BEB"/>
    <w:rsid w:val="00030E11"/>
    <w:rsid w:val="0003127C"/>
    <w:rsid w:val="000314C4"/>
    <w:rsid w:val="00031A2A"/>
    <w:rsid w:val="00031F74"/>
    <w:rsid w:val="000325DE"/>
    <w:rsid w:val="0003293E"/>
    <w:rsid w:val="00032FEE"/>
    <w:rsid w:val="000336F0"/>
    <w:rsid w:val="000338F5"/>
    <w:rsid w:val="00034DFC"/>
    <w:rsid w:val="00034F72"/>
    <w:rsid w:val="000358AC"/>
    <w:rsid w:val="00036F32"/>
    <w:rsid w:val="000370B9"/>
    <w:rsid w:val="0003714C"/>
    <w:rsid w:val="00037916"/>
    <w:rsid w:val="000400C6"/>
    <w:rsid w:val="00040426"/>
    <w:rsid w:val="00040730"/>
    <w:rsid w:val="00040CD4"/>
    <w:rsid w:val="00041CB2"/>
    <w:rsid w:val="00041E27"/>
    <w:rsid w:val="00042418"/>
    <w:rsid w:val="000432A5"/>
    <w:rsid w:val="00043396"/>
    <w:rsid w:val="00044214"/>
    <w:rsid w:val="00044531"/>
    <w:rsid w:val="00044698"/>
    <w:rsid w:val="00045618"/>
    <w:rsid w:val="000459A6"/>
    <w:rsid w:val="00046732"/>
    <w:rsid w:val="00047394"/>
    <w:rsid w:val="000501BF"/>
    <w:rsid w:val="000503E5"/>
    <w:rsid w:val="0005152C"/>
    <w:rsid w:val="000517C9"/>
    <w:rsid w:val="0005270F"/>
    <w:rsid w:val="00052922"/>
    <w:rsid w:val="00052BF6"/>
    <w:rsid w:val="0005312B"/>
    <w:rsid w:val="00053235"/>
    <w:rsid w:val="0005327D"/>
    <w:rsid w:val="00053D9E"/>
    <w:rsid w:val="00053E79"/>
    <w:rsid w:val="000540CD"/>
    <w:rsid w:val="000541E4"/>
    <w:rsid w:val="00055662"/>
    <w:rsid w:val="00055C3A"/>
    <w:rsid w:val="00055E68"/>
    <w:rsid w:val="00056C90"/>
    <w:rsid w:val="00056D54"/>
    <w:rsid w:val="00057856"/>
    <w:rsid w:val="00057B4A"/>
    <w:rsid w:val="00057FE0"/>
    <w:rsid w:val="00060210"/>
    <w:rsid w:val="00060A05"/>
    <w:rsid w:val="00061964"/>
    <w:rsid w:val="00061FB7"/>
    <w:rsid w:val="00062353"/>
    <w:rsid w:val="00062D71"/>
    <w:rsid w:val="00062E4E"/>
    <w:rsid w:val="00062F67"/>
    <w:rsid w:val="00063609"/>
    <w:rsid w:val="00063B9A"/>
    <w:rsid w:val="000657F5"/>
    <w:rsid w:val="00065A18"/>
    <w:rsid w:val="00067258"/>
    <w:rsid w:val="00067366"/>
    <w:rsid w:val="00067FDB"/>
    <w:rsid w:val="0007018F"/>
    <w:rsid w:val="00070AFC"/>
    <w:rsid w:val="00070D48"/>
    <w:rsid w:val="00070EF2"/>
    <w:rsid w:val="000716E5"/>
    <w:rsid w:val="00071939"/>
    <w:rsid w:val="000719BF"/>
    <w:rsid w:val="00072ED0"/>
    <w:rsid w:val="000734F4"/>
    <w:rsid w:val="000735C7"/>
    <w:rsid w:val="00074607"/>
    <w:rsid w:val="000749DF"/>
    <w:rsid w:val="000752C0"/>
    <w:rsid w:val="00076025"/>
    <w:rsid w:val="000762F4"/>
    <w:rsid w:val="00076F92"/>
    <w:rsid w:val="00080C25"/>
    <w:rsid w:val="00080CAF"/>
    <w:rsid w:val="00081A12"/>
    <w:rsid w:val="00081FEC"/>
    <w:rsid w:val="000826C1"/>
    <w:rsid w:val="00082736"/>
    <w:rsid w:val="0008293A"/>
    <w:rsid w:val="0008313A"/>
    <w:rsid w:val="0008382B"/>
    <w:rsid w:val="00083D7F"/>
    <w:rsid w:val="000844F1"/>
    <w:rsid w:val="00084928"/>
    <w:rsid w:val="000862F1"/>
    <w:rsid w:val="0008636E"/>
    <w:rsid w:val="00086B9C"/>
    <w:rsid w:val="000877FB"/>
    <w:rsid w:val="0009056E"/>
    <w:rsid w:val="00091239"/>
    <w:rsid w:val="0009216C"/>
    <w:rsid w:val="00092509"/>
    <w:rsid w:val="00092C32"/>
    <w:rsid w:val="0009383E"/>
    <w:rsid w:val="00094D80"/>
    <w:rsid w:val="00095EF4"/>
    <w:rsid w:val="00096786"/>
    <w:rsid w:val="00096C9E"/>
    <w:rsid w:val="00096CAC"/>
    <w:rsid w:val="00097569"/>
    <w:rsid w:val="000978DC"/>
    <w:rsid w:val="000A0891"/>
    <w:rsid w:val="000A0B7B"/>
    <w:rsid w:val="000A15E1"/>
    <w:rsid w:val="000A17AB"/>
    <w:rsid w:val="000A1806"/>
    <w:rsid w:val="000A1D7C"/>
    <w:rsid w:val="000A1DF3"/>
    <w:rsid w:val="000A3435"/>
    <w:rsid w:val="000A34EF"/>
    <w:rsid w:val="000A3D66"/>
    <w:rsid w:val="000A4099"/>
    <w:rsid w:val="000A6470"/>
    <w:rsid w:val="000A76B9"/>
    <w:rsid w:val="000B02C4"/>
    <w:rsid w:val="000B0E97"/>
    <w:rsid w:val="000B1110"/>
    <w:rsid w:val="000B1809"/>
    <w:rsid w:val="000B1A37"/>
    <w:rsid w:val="000B1F4F"/>
    <w:rsid w:val="000B1FCB"/>
    <w:rsid w:val="000B2A7B"/>
    <w:rsid w:val="000B3F47"/>
    <w:rsid w:val="000B43FF"/>
    <w:rsid w:val="000B49CB"/>
    <w:rsid w:val="000B5A41"/>
    <w:rsid w:val="000B5CFD"/>
    <w:rsid w:val="000B6036"/>
    <w:rsid w:val="000B707F"/>
    <w:rsid w:val="000C0B47"/>
    <w:rsid w:val="000C0D1A"/>
    <w:rsid w:val="000C15A8"/>
    <w:rsid w:val="000C1D63"/>
    <w:rsid w:val="000C27CA"/>
    <w:rsid w:val="000C2ACE"/>
    <w:rsid w:val="000C2FCD"/>
    <w:rsid w:val="000C3300"/>
    <w:rsid w:val="000C3E98"/>
    <w:rsid w:val="000C44B4"/>
    <w:rsid w:val="000C4502"/>
    <w:rsid w:val="000C4532"/>
    <w:rsid w:val="000C4A0F"/>
    <w:rsid w:val="000C69C2"/>
    <w:rsid w:val="000C7174"/>
    <w:rsid w:val="000C7DA2"/>
    <w:rsid w:val="000C7DFA"/>
    <w:rsid w:val="000D2271"/>
    <w:rsid w:val="000D29A3"/>
    <w:rsid w:val="000D3CFB"/>
    <w:rsid w:val="000D4144"/>
    <w:rsid w:val="000D4891"/>
    <w:rsid w:val="000D4CD5"/>
    <w:rsid w:val="000D51A6"/>
    <w:rsid w:val="000D61BE"/>
    <w:rsid w:val="000D6BD9"/>
    <w:rsid w:val="000D7410"/>
    <w:rsid w:val="000E0606"/>
    <w:rsid w:val="000E119E"/>
    <w:rsid w:val="000E14AF"/>
    <w:rsid w:val="000E1C77"/>
    <w:rsid w:val="000E1CA9"/>
    <w:rsid w:val="000E2BF0"/>
    <w:rsid w:val="000E3167"/>
    <w:rsid w:val="000E3387"/>
    <w:rsid w:val="000E360B"/>
    <w:rsid w:val="000E4195"/>
    <w:rsid w:val="000E4BCA"/>
    <w:rsid w:val="000E522A"/>
    <w:rsid w:val="000E53C4"/>
    <w:rsid w:val="000E5724"/>
    <w:rsid w:val="000E6C09"/>
    <w:rsid w:val="000E7010"/>
    <w:rsid w:val="000E7B43"/>
    <w:rsid w:val="000F0903"/>
    <w:rsid w:val="000F0A64"/>
    <w:rsid w:val="000F0CFC"/>
    <w:rsid w:val="000F0F2E"/>
    <w:rsid w:val="000F1368"/>
    <w:rsid w:val="000F18F6"/>
    <w:rsid w:val="000F3748"/>
    <w:rsid w:val="000F460A"/>
    <w:rsid w:val="000F4F12"/>
    <w:rsid w:val="000F5FBC"/>
    <w:rsid w:val="000F6C7E"/>
    <w:rsid w:val="000F6CF5"/>
    <w:rsid w:val="000F77FE"/>
    <w:rsid w:val="001009F5"/>
    <w:rsid w:val="00100E53"/>
    <w:rsid w:val="00101DE5"/>
    <w:rsid w:val="00102929"/>
    <w:rsid w:val="00103042"/>
    <w:rsid w:val="0010335F"/>
    <w:rsid w:val="00103897"/>
    <w:rsid w:val="00103AA7"/>
    <w:rsid w:val="00104061"/>
    <w:rsid w:val="001043C8"/>
    <w:rsid w:val="001066FF"/>
    <w:rsid w:val="001067B7"/>
    <w:rsid w:val="00106B33"/>
    <w:rsid w:val="0010774D"/>
    <w:rsid w:val="00112AB5"/>
    <w:rsid w:val="001136B6"/>
    <w:rsid w:val="00113DB2"/>
    <w:rsid w:val="001141E4"/>
    <w:rsid w:val="00114556"/>
    <w:rsid w:val="0011469E"/>
    <w:rsid w:val="00114850"/>
    <w:rsid w:val="001149E2"/>
    <w:rsid w:val="0011511F"/>
    <w:rsid w:val="00115BCD"/>
    <w:rsid w:val="001166AC"/>
    <w:rsid w:val="00116AC4"/>
    <w:rsid w:val="00117855"/>
    <w:rsid w:val="00120450"/>
    <w:rsid w:val="00120567"/>
    <w:rsid w:val="00120BB9"/>
    <w:rsid w:val="00121790"/>
    <w:rsid w:val="00121946"/>
    <w:rsid w:val="001225B3"/>
    <w:rsid w:val="0012320D"/>
    <w:rsid w:val="00123599"/>
    <w:rsid w:val="0012392A"/>
    <w:rsid w:val="00123F44"/>
    <w:rsid w:val="001258B6"/>
    <w:rsid w:val="00125A34"/>
    <w:rsid w:val="00125A6E"/>
    <w:rsid w:val="001263CE"/>
    <w:rsid w:val="00126503"/>
    <w:rsid w:val="00126F0F"/>
    <w:rsid w:val="00127C92"/>
    <w:rsid w:val="00127E86"/>
    <w:rsid w:val="00127EFA"/>
    <w:rsid w:val="0013097E"/>
    <w:rsid w:val="00131087"/>
    <w:rsid w:val="0013125C"/>
    <w:rsid w:val="001319D0"/>
    <w:rsid w:val="001322EF"/>
    <w:rsid w:val="0013230F"/>
    <w:rsid w:val="001325B4"/>
    <w:rsid w:val="001338D2"/>
    <w:rsid w:val="00134176"/>
    <w:rsid w:val="0013450A"/>
    <w:rsid w:val="001345F1"/>
    <w:rsid w:val="0013501C"/>
    <w:rsid w:val="00135205"/>
    <w:rsid w:val="001358D0"/>
    <w:rsid w:val="00135EE4"/>
    <w:rsid w:val="00136260"/>
    <w:rsid w:val="00137065"/>
    <w:rsid w:val="0013739F"/>
    <w:rsid w:val="00137B04"/>
    <w:rsid w:val="00140206"/>
    <w:rsid w:val="001402D6"/>
    <w:rsid w:val="00140C80"/>
    <w:rsid w:val="00141176"/>
    <w:rsid w:val="001421ED"/>
    <w:rsid w:val="001426D3"/>
    <w:rsid w:val="001427CF"/>
    <w:rsid w:val="00142811"/>
    <w:rsid w:val="001432D3"/>
    <w:rsid w:val="0014412D"/>
    <w:rsid w:val="001446A8"/>
    <w:rsid w:val="00146481"/>
    <w:rsid w:val="0014667B"/>
    <w:rsid w:val="00146E14"/>
    <w:rsid w:val="00147429"/>
    <w:rsid w:val="001478A8"/>
    <w:rsid w:val="00147BF7"/>
    <w:rsid w:val="0015037F"/>
    <w:rsid w:val="001508D3"/>
    <w:rsid w:val="00150A4D"/>
    <w:rsid w:val="00151925"/>
    <w:rsid w:val="00151A2D"/>
    <w:rsid w:val="00151AEC"/>
    <w:rsid w:val="00151BFA"/>
    <w:rsid w:val="00151D87"/>
    <w:rsid w:val="001524EB"/>
    <w:rsid w:val="00152785"/>
    <w:rsid w:val="00153909"/>
    <w:rsid w:val="001539B2"/>
    <w:rsid w:val="00153ECF"/>
    <w:rsid w:val="00154A9E"/>
    <w:rsid w:val="00154D51"/>
    <w:rsid w:val="00154DEB"/>
    <w:rsid w:val="00155300"/>
    <w:rsid w:val="00156447"/>
    <w:rsid w:val="00160459"/>
    <w:rsid w:val="001604CE"/>
    <w:rsid w:val="00162043"/>
    <w:rsid w:val="00165470"/>
    <w:rsid w:val="00165C6D"/>
    <w:rsid w:val="00166F28"/>
    <w:rsid w:val="00167A4D"/>
    <w:rsid w:val="00167D3D"/>
    <w:rsid w:val="001714B9"/>
    <w:rsid w:val="0017233F"/>
    <w:rsid w:val="001724DF"/>
    <w:rsid w:val="001733AA"/>
    <w:rsid w:val="0017447E"/>
    <w:rsid w:val="00174965"/>
    <w:rsid w:val="00174BF6"/>
    <w:rsid w:val="0017642C"/>
    <w:rsid w:val="00177796"/>
    <w:rsid w:val="00177943"/>
    <w:rsid w:val="001800DB"/>
    <w:rsid w:val="001807C4"/>
    <w:rsid w:val="001809CF"/>
    <w:rsid w:val="00180AA1"/>
    <w:rsid w:val="00180D7F"/>
    <w:rsid w:val="0018182B"/>
    <w:rsid w:val="001828F9"/>
    <w:rsid w:val="00182EC1"/>
    <w:rsid w:val="0018385F"/>
    <w:rsid w:val="00183D31"/>
    <w:rsid w:val="0018408B"/>
    <w:rsid w:val="00184560"/>
    <w:rsid w:val="00185098"/>
    <w:rsid w:val="001850A6"/>
    <w:rsid w:val="0018518A"/>
    <w:rsid w:val="001868EE"/>
    <w:rsid w:val="00186BA1"/>
    <w:rsid w:val="00186D7D"/>
    <w:rsid w:val="00186F14"/>
    <w:rsid w:val="001871EF"/>
    <w:rsid w:val="001900C8"/>
    <w:rsid w:val="00190CD3"/>
    <w:rsid w:val="001917C7"/>
    <w:rsid w:val="00191956"/>
    <w:rsid w:val="00191B00"/>
    <w:rsid w:val="00191FB9"/>
    <w:rsid w:val="00192427"/>
    <w:rsid w:val="001942C8"/>
    <w:rsid w:val="00194641"/>
    <w:rsid w:val="00194764"/>
    <w:rsid w:val="001947AE"/>
    <w:rsid w:val="00194836"/>
    <w:rsid w:val="00194EDC"/>
    <w:rsid w:val="00195428"/>
    <w:rsid w:val="00195700"/>
    <w:rsid w:val="00195973"/>
    <w:rsid w:val="00195D92"/>
    <w:rsid w:val="001962E0"/>
    <w:rsid w:val="00196DC0"/>
    <w:rsid w:val="00197377"/>
    <w:rsid w:val="00197D4C"/>
    <w:rsid w:val="00197F82"/>
    <w:rsid w:val="001A01A7"/>
    <w:rsid w:val="001A16E3"/>
    <w:rsid w:val="001A1770"/>
    <w:rsid w:val="001A199E"/>
    <w:rsid w:val="001A1DA2"/>
    <w:rsid w:val="001A24F2"/>
    <w:rsid w:val="001A2556"/>
    <w:rsid w:val="001A2958"/>
    <w:rsid w:val="001A2EBA"/>
    <w:rsid w:val="001A3789"/>
    <w:rsid w:val="001A39FC"/>
    <w:rsid w:val="001A3B99"/>
    <w:rsid w:val="001A408B"/>
    <w:rsid w:val="001A4A4C"/>
    <w:rsid w:val="001A52C7"/>
    <w:rsid w:val="001A53AE"/>
    <w:rsid w:val="001A58B6"/>
    <w:rsid w:val="001A6367"/>
    <w:rsid w:val="001A6783"/>
    <w:rsid w:val="001A7374"/>
    <w:rsid w:val="001B027D"/>
    <w:rsid w:val="001B136A"/>
    <w:rsid w:val="001B1C2B"/>
    <w:rsid w:val="001B2B9D"/>
    <w:rsid w:val="001B2E9D"/>
    <w:rsid w:val="001B3C18"/>
    <w:rsid w:val="001B49CB"/>
    <w:rsid w:val="001B50C3"/>
    <w:rsid w:val="001B62C3"/>
    <w:rsid w:val="001B62F1"/>
    <w:rsid w:val="001B6A98"/>
    <w:rsid w:val="001B6D55"/>
    <w:rsid w:val="001B6F0C"/>
    <w:rsid w:val="001B7288"/>
    <w:rsid w:val="001B7293"/>
    <w:rsid w:val="001B7CBB"/>
    <w:rsid w:val="001C01A9"/>
    <w:rsid w:val="001C04FF"/>
    <w:rsid w:val="001C0709"/>
    <w:rsid w:val="001C0D48"/>
    <w:rsid w:val="001C1852"/>
    <w:rsid w:val="001C1E8E"/>
    <w:rsid w:val="001C2178"/>
    <w:rsid w:val="001C261D"/>
    <w:rsid w:val="001C2872"/>
    <w:rsid w:val="001C2E00"/>
    <w:rsid w:val="001C37A8"/>
    <w:rsid w:val="001C38EA"/>
    <w:rsid w:val="001C3D4F"/>
    <w:rsid w:val="001C421D"/>
    <w:rsid w:val="001C475C"/>
    <w:rsid w:val="001C4CAC"/>
    <w:rsid w:val="001C5D8A"/>
    <w:rsid w:val="001C616A"/>
    <w:rsid w:val="001C6E0E"/>
    <w:rsid w:val="001C7B99"/>
    <w:rsid w:val="001D0630"/>
    <w:rsid w:val="001D0F5A"/>
    <w:rsid w:val="001D11FC"/>
    <w:rsid w:val="001D236C"/>
    <w:rsid w:val="001D24E4"/>
    <w:rsid w:val="001D2AC2"/>
    <w:rsid w:val="001D2D1F"/>
    <w:rsid w:val="001D2EC3"/>
    <w:rsid w:val="001D34FA"/>
    <w:rsid w:val="001D3F28"/>
    <w:rsid w:val="001D404E"/>
    <w:rsid w:val="001D46A1"/>
    <w:rsid w:val="001D48F7"/>
    <w:rsid w:val="001D5D48"/>
    <w:rsid w:val="001D61DF"/>
    <w:rsid w:val="001D64CF"/>
    <w:rsid w:val="001D7192"/>
    <w:rsid w:val="001D719B"/>
    <w:rsid w:val="001E02BA"/>
    <w:rsid w:val="001E2F4B"/>
    <w:rsid w:val="001E3931"/>
    <w:rsid w:val="001E40CA"/>
    <w:rsid w:val="001E51A6"/>
    <w:rsid w:val="001E5365"/>
    <w:rsid w:val="001F06A6"/>
    <w:rsid w:val="001F0E73"/>
    <w:rsid w:val="001F109C"/>
    <w:rsid w:val="001F1783"/>
    <w:rsid w:val="001F19A1"/>
    <w:rsid w:val="001F1A0E"/>
    <w:rsid w:val="001F1B3A"/>
    <w:rsid w:val="001F2E8D"/>
    <w:rsid w:val="001F418C"/>
    <w:rsid w:val="001F4205"/>
    <w:rsid w:val="001F4265"/>
    <w:rsid w:val="001F6125"/>
    <w:rsid w:val="001F647C"/>
    <w:rsid w:val="001F6A9C"/>
    <w:rsid w:val="001F6B89"/>
    <w:rsid w:val="001F6CDA"/>
    <w:rsid w:val="001F6E83"/>
    <w:rsid w:val="001F761A"/>
    <w:rsid w:val="001F7C3B"/>
    <w:rsid w:val="002003EE"/>
    <w:rsid w:val="00200A10"/>
    <w:rsid w:val="00200B7F"/>
    <w:rsid w:val="00200BC1"/>
    <w:rsid w:val="00201312"/>
    <w:rsid w:val="00201806"/>
    <w:rsid w:val="00201CAE"/>
    <w:rsid w:val="00202C84"/>
    <w:rsid w:val="002034EB"/>
    <w:rsid w:val="002050E7"/>
    <w:rsid w:val="00205157"/>
    <w:rsid w:val="0020583D"/>
    <w:rsid w:val="00206C51"/>
    <w:rsid w:val="00207F6A"/>
    <w:rsid w:val="00210D18"/>
    <w:rsid w:val="00211090"/>
    <w:rsid w:val="00211772"/>
    <w:rsid w:val="002120B8"/>
    <w:rsid w:val="002125B5"/>
    <w:rsid w:val="00212E75"/>
    <w:rsid w:val="00213917"/>
    <w:rsid w:val="00214357"/>
    <w:rsid w:val="00215454"/>
    <w:rsid w:val="00216B46"/>
    <w:rsid w:val="00216FDA"/>
    <w:rsid w:val="0021753D"/>
    <w:rsid w:val="00220898"/>
    <w:rsid w:val="002209D2"/>
    <w:rsid w:val="00220DAB"/>
    <w:rsid w:val="002214C5"/>
    <w:rsid w:val="00221CFE"/>
    <w:rsid w:val="0022206F"/>
    <w:rsid w:val="00222793"/>
    <w:rsid w:val="00222989"/>
    <w:rsid w:val="00222F3B"/>
    <w:rsid w:val="00223A14"/>
    <w:rsid w:val="002242CD"/>
    <w:rsid w:val="00224EFA"/>
    <w:rsid w:val="00224F88"/>
    <w:rsid w:val="002252B3"/>
    <w:rsid w:val="002262F6"/>
    <w:rsid w:val="0022648D"/>
    <w:rsid w:val="00227368"/>
    <w:rsid w:val="00230647"/>
    <w:rsid w:val="0023068D"/>
    <w:rsid w:val="00230DBD"/>
    <w:rsid w:val="00230FED"/>
    <w:rsid w:val="00231661"/>
    <w:rsid w:val="0023187F"/>
    <w:rsid w:val="00231B0B"/>
    <w:rsid w:val="002324BB"/>
    <w:rsid w:val="002328DC"/>
    <w:rsid w:val="00232A41"/>
    <w:rsid w:val="00232D69"/>
    <w:rsid w:val="00232EA7"/>
    <w:rsid w:val="00232F35"/>
    <w:rsid w:val="00233776"/>
    <w:rsid w:val="00233C76"/>
    <w:rsid w:val="0023479F"/>
    <w:rsid w:val="002349F6"/>
    <w:rsid w:val="00234C6B"/>
    <w:rsid w:val="002351C2"/>
    <w:rsid w:val="00235249"/>
    <w:rsid w:val="0023607F"/>
    <w:rsid w:val="002363B7"/>
    <w:rsid w:val="00236BFC"/>
    <w:rsid w:val="00236D64"/>
    <w:rsid w:val="00237345"/>
    <w:rsid w:val="0024003D"/>
    <w:rsid w:val="002404E1"/>
    <w:rsid w:val="00240883"/>
    <w:rsid w:val="00241B79"/>
    <w:rsid w:val="002423EA"/>
    <w:rsid w:val="0024264A"/>
    <w:rsid w:val="00242749"/>
    <w:rsid w:val="0024317A"/>
    <w:rsid w:val="002434FC"/>
    <w:rsid w:val="0024499A"/>
    <w:rsid w:val="00244F68"/>
    <w:rsid w:val="00245BDA"/>
    <w:rsid w:val="00245EE6"/>
    <w:rsid w:val="002460E4"/>
    <w:rsid w:val="0024633B"/>
    <w:rsid w:val="002469C3"/>
    <w:rsid w:val="002471F3"/>
    <w:rsid w:val="0024729C"/>
    <w:rsid w:val="0025020A"/>
    <w:rsid w:val="00250F02"/>
    <w:rsid w:val="0025154F"/>
    <w:rsid w:val="002517AB"/>
    <w:rsid w:val="002519B4"/>
    <w:rsid w:val="00251DAF"/>
    <w:rsid w:val="00251DD7"/>
    <w:rsid w:val="00252469"/>
    <w:rsid w:val="00252558"/>
    <w:rsid w:val="00252EE5"/>
    <w:rsid w:val="00253B70"/>
    <w:rsid w:val="00256951"/>
    <w:rsid w:val="00260181"/>
    <w:rsid w:val="00260221"/>
    <w:rsid w:val="00260446"/>
    <w:rsid w:val="00260507"/>
    <w:rsid w:val="002605FE"/>
    <w:rsid w:val="002608F5"/>
    <w:rsid w:val="00260906"/>
    <w:rsid w:val="00260D5F"/>
    <w:rsid w:val="002614C4"/>
    <w:rsid w:val="0026158E"/>
    <w:rsid w:val="00262FAC"/>
    <w:rsid w:val="00263337"/>
    <w:rsid w:val="002637B7"/>
    <w:rsid w:val="00263D36"/>
    <w:rsid w:val="002641B4"/>
    <w:rsid w:val="002649A0"/>
    <w:rsid w:val="00264E5B"/>
    <w:rsid w:val="00265205"/>
    <w:rsid w:val="002652AF"/>
    <w:rsid w:val="00265574"/>
    <w:rsid w:val="00265C81"/>
    <w:rsid w:val="002665D6"/>
    <w:rsid w:val="00266EA4"/>
    <w:rsid w:val="002671DC"/>
    <w:rsid w:val="002672AB"/>
    <w:rsid w:val="002676FE"/>
    <w:rsid w:val="00267EB5"/>
    <w:rsid w:val="00270B60"/>
    <w:rsid w:val="00270C83"/>
    <w:rsid w:val="00270C95"/>
    <w:rsid w:val="00271D44"/>
    <w:rsid w:val="00272E8D"/>
    <w:rsid w:val="00272FC1"/>
    <w:rsid w:val="00273DC3"/>
    <w:rsid w:val="00274626"/>
    <w:rsid w:val="00274ABF"/>
    <w:rsid w:val="00276BDE"/>
    <w:rsid w:val="00277820"/>
    <w:rsid w:val="00277917"/>
    <w:rsid w:val="00277A61"/>
    <w:rsid w:val="00277FFD"/>
    <w:rsid w:val="002811BA"/>
    <w:rsid w:val="002814ED"/>
    <w:rsid w:val="0028210A"/>
    <w:rsid w:val="00282257"/>
    <w:rsid w:val="00283441"/>
    <w:rsid w:val="00284584"/>
    <w:rsid w:val="0028542D"/>
    <w:rsid w:val="00285B02"/>
    <w:rsid w:val="00285EE3"/>
    <w:rsid w:val="0028614D"/>
    <w:rsid w:val="00286215"/>
    <w:rsid w:val="002864B3"/>
    <w:rsid w:val="00286B9E"/>
    <w:rsid w:val="00286BB8"/>
    <w:rsid w:val="00286C9F"/>
    <w:rsid w:val="00286D15"/>
    <w:rsid w:val="00286E6B"/>
    <w:rsid w:val="00287716"/>
    <w:rsid w:val="00287D29"/>
    <w:rsid w:val="00287DF6"/>
    <w:rsid w:val="00290711"/>
    <w:rsid w:val="00290C35"/>
    <w:rsid w:val="00291BDF"/>
    <w:rsid w:val="00292699"/>
    <w:rsid w:val="00293909"/>
    <w:rsid w:val="00293C27"/>
    <w:rsid w:val="002946DA"/>
    <w:rsid w:val="00295BF3"/>
    <w:rsid w:val="00296447"/>
    <w:rsid w:val="0029726A"/>
    <w:rsid w:val="0029743D"/>
    <w:rsid w:val="0029749C"/>
    <w:rsid w:val="0029754F"/>
    <w:rsid w:val="002975A4"/>
    <w:rsid w:val="00297C61"/>
    <w:rsid w:val="002A0214"/>
    <w:rsid w:val="002A073D"/>
    <w:rsid w:val="002A09FC"/>
    <w:rsid w:val="002A0FEC"/>
    <w:rsid w:val="002A295A"/>
    <w:rsid w:val="002A3091"/>
    <w:rsid w:val="002A3DE2"/>
    <w:rsid w:val="002A4C7A"/>
    <w:rsid w:val="002A50DC"/>
    <w:rsid w:val="002A5845"/>
    <w:rsid w:val="002A5AA6"/>
    <w:rsid w:val="002A610E"/>
    <w:rsid w:val="002A6526"/>
    <w:rsid w:val="002A671E"/>
    <w:rsid w:val="002A7D49"/>
    <w:rsid w:val="002B07D0"/>
    <w:rsid w:val="002B0EB2"/>
    <w:rsid w:val="002B12A9"/>
    <w:rsid w:val="002B2D61"/>
    <w:rsid w:val="002B3B9F"/>
    <w:rsid w:val="002B4755"/>
    <w:rsid w:val="002B4DE2"/>
    <w:rsid w:val="002B4E20"/>
    <w:rsid w:val="002B51A2"/>
    <w:rsid w:val="002B53CB"/>
    <w:rsid w:val="002B5530"/>
    <w:rsid w:val="002B55CB"/>
    <w:rsid w:val="002B77C7"/>
    <w:rsid w:val="002B79F0"/>
    <w:rsid w:val="002B7E71"/>
    <w:rsid w:val="002C19BA"/>
    <w:rsid w:val="002C2036"/>
    <w:rsid w:val="002C30A8"/>
    <w:rsid w:val="002C3A1A"/>
    <w:rsid w:val="002C4299"/>
    <w:rsid w:val="002C4765"/>
    <w:rsid w:val="002C51F7"/>
    <w:rsid w:val="002C56A7"/>
    <w:rsid w:val="002C5A43"/>
    <w:rsid w:val="002C6176"/>
    <w:rsid w:val="002C7545"/>
    <w:rsid w:val="002D0174"/>
    <w:rsid w:val="002D0DC1"/>
    <w:rsid w:val="002D28D9"/>
    <w:rsid w:val="002D2E17"/>
    <w:rsid w:val="002D3042"/>
    <w:rsid w:val="002D3273"/>
    <w:rsid w:val="002D46BF"/>
    <w:rsid w:val="002D4B67"/>
    <w:rsid w:val="002D57E4"/>
    <w:rsid w:val="002D608D"/>
    <w:rsid w:val="002D7705"/>
    <w:rsid w:val="002D78D4"/>
    <w:rsid w:val="002E07AD"/>
    <w:rsid w:val="002E0F71"/>
    <w:rsid w:val="002E146D"/>
    <w:rsid w:val="002E18C8"/>
    <w:rsid w:val="002E19E3"/>
    <w:rsid w:val="002E206A"/>
    <w:rsid w:val="002E30D4"/>
    <w:rsid w:val="002E349D"/>
    <w:rsid w:val="002E35FB"/>
    <w:rsid w:val="002E3BF1"/>
    <w:rsid w:val="002E3FFB"/>
    <w:rsid w:val="002E4EAC"/>
    <w:rsid w:val="002E5B9F"/>
    <w:rsid w:val="002E6423"/>
    <w:rsid w:val="002E7B3E"/>
    <w:rsid w:val="002F30A3"/>
    <w:rsid w:val="002F31E3"/>
    <w:rsid w:val="002F34C5"/>
    <w:rsid w:val="002F3A5B"/>
    <w:rsid w:val="002F3BE7"/>
    <w:rsid w:val="002F4300"/>
    <w:rsid w:val="002F4316"/>
    <w:rsid w:val="002F4DB8"/>
    <w:rsid w:val="002F4E12"/>
    <w:rsid w:val="002F50A6"/>
    <w:rsid w:val="002F64A1"/>
    <w:rsid w:val="002F6514"/>
    <w:rsid w:val="002F69FC"/>
    <w:rsid w:val="002F7B29"/>
    <w:rsid w:val="00300BD9"/>
    <w:rsid w:val="0030201F"/>
    <w:rsid w:val="003028DC"/>
    <w:rsid w:val="00302CE6"/>
    <w:rsid w:val="003034EE"/>
    <w:rsid w:val="00303791"/>
    <w:rsid w:val="00304382"/>
    <w:rsid w:val="003043EA"/>
    <w:rsid w:val="003045C4"/>
    <w:rsid w:val="00305D98"/>
    <w:rsid w:val="00307940"/>
    <w:rsid w:val="00307AE8"/>
    <w:rsid w:val="00307D42"/>
    <w:rsid w:val="00307FCE"/>
    <w:rsid w:val="00310732"/>
    <w:rsid w:val="0031079F"/>
    <w:rsid w:val="0031158E"/>
    <w:rsid w:val="00311AE2"/>
    <w:rsid w:val="003122AB"/>
    <w:rsid w:val="003146AF"/>
    <w:rsid w:val="003152CB"/>
    <w:rsid w:val="003166C4"/>
    <w:rsid w:val="00316DBB"/>
    <w:rsid w:val="00316DD4"/>
    <w:rsid w:val="003171EA"/>
    <w:rsid w:val="003174C6"/>
    <w:rsid w:val="00317952"/>
    <w:rsid w:val="0032011B"/>
    <w:rsid w:val="00320208"/>
    <w:rsid w:val="0032026A"/>
    <w:rsid w:val="00320333"/>
    <w:rsid w:val="00320BB5"/>
    <w:rsid w:val="003228EC"/>
    <w:rsid w:val="00322E65"/>
    <w:rsid w:val="00323F08"/>
    <w:rsid w:val="00324070"/>
    <w:rsid w:val="003241AB"/>
    <w:rsid w:val="003242B0"/>
    <w:rsid w:val="0032550D"/>
    <w:rsid w:val="00326310"/>
    <w:rsid w:val="003271A2"/>
    <w:rsid w:val="00330385"/>
    <w:rsid w:val="00330777"/>
    <w:rsid w:val="00331B76"/>
    <w:rsid w:val="00331F9F"/>
    <w:rsid w:val="003320A3"/>
    <w:rsid w:val="00332982"/>
    <w:rsid w:val="00333689"/>
    <w:rsid w:val="003336A8"/>
    <w:rsid w:val="00333A69"/>
    <w:rsid w:val="0033489B"/>
    <w:rsid w:val="00334E10"/>
    <w:rsid w:val="00334E8C"/>
    <w:rsid w:val="003356A6"/>
    <w:rsid w:val="0033643F"/>
    <w:rsid w:val="0033646D"/>
    <w:rsid w:val="0033670D"/>
    <w:rsid w:val="00337E67"/>
    <w:rsid w:val="0034015C"/>
    <w:rsid w:val="003403B2"/>
    <w:rsid w:val="00340658"/>
    <w:rsid w:val="00341D0B"/>
    <w:rsid w:val="003422D8"/>
    <w:rsid w:val="003427FA"/>
    <w:rsid w:val="00342C53"/>
    <w:rsid w:val="00343F49"/>
    <w:rsid w:val="0034405F"/>
    <w:rsid w:val="0034483D"/>
    <w:rsid w:val="0034505A"/>
    <w:rsid w:val="00345207"/>
    <w:rsid w:val="0034569C"/>
    <w:rsid w:val="003462C6"/>
    <w:rsid w:val="003462D7"/>
    <w:rsid w:val="00346EAA"/>
    <w:rsid w:val="00347234"/>
    <w:rsid w:val="003473D4"/>
    <w:rsid w:val="00350A8D"/>
    <w:rsid w:val="00351382"/>
    <w:rsid w:val="00351466"/>
    <w:rsid w:val="00352FFA"/>
    <w:rsid w:val="0035327F"/>
    <w:rsid w:val="00353835"/>
    <w:rsid w:val="003541AF"/>
    <w:rsid w:val="0035438A"/>
    <w:rsid w:val="003558A6"/>
    <w:rsid w:val="00355BDF"/>
    <w:rsid w:val="00355E74"/>
    <w:rsid w:val="003568D6"/>
    <w:rsid w:val="003571BC"/>
    <w:rsid w:val="0035726C"/>
    <w:rsid w:val="0035743B"/>
    <w:rsid w:val="00357876"/>
    <w:rsid w:val="00357C53"/>
    <w:rsid w:val="003601C1"/>
    <w:rsid w:val="00360A78"/>
    <w:rsid w:val="00360B14"/>
    <w:rsid w:val="00360FB5"/>
    <w:rsid w:val="003616FB"/>
    <w:rsid w:val="003618F2"/>
    <w:rsid w:val="003618F4"/>
    <w:rsid w:val="0036303A"/>
    <w:rsid w:val="00363A7F"/>
    <w:rsid w:val="00363B32"/>
    <w:rsid w:val="00363F93"/>
    <w:rsid w:val="0036524B"/>
    <w:rsid w:val="00365D74"/>
    <w:rsid w:val="003660E1"/>
    <w:rsid w:val="0036610A"/>
    <w:rsid w:val="003665AD"/>
    <w:rsid w:val="0036668A"/>
    <w:rsid w:val="00366FED"/>
    <w:rsid w:val="00367B16"/>
    <w:rsid w:val="0037009F"/>
    <w:rsid w:val="003705FF"/>
    <w:rsid w:val="00371ED3"/>
    <w:rsid w:val="00372034"/>
    <w:rsid w:val="0037216E"/>
    <w:rsid w:val="0037223E"/>
    <w:rsid w:val="003735E1"/>
    <w:rsid w:val="003739A7"/>
    <w:rsid w:val="003744D3"/>
    <w:rsid w:val="00374A8E"/>
    <w:rsid w:val="00374B37"/>
    <w:rsid w:val="00374B79"/>
    <w:rsid w:val="0037521E"/>
    <w:rsid w:val="003752C8"/>
    <w:rsid w:val="003755EF"/>
    <w:rsid w:val="00375761"/>
    <w:rsid w:val="00375A1E"/>
    <w:rsid w:val="0037662C"/>
    <w:rsid w:val="00377338"/>
    <w:rsid w:val="0037775E"/>
    <w:rsid w:val="003777A8"/>
    <w:rsid w:val="003813A3"/>
    <w:rsid w:val="00381622"/>
    <w:rsid w:val="0038181C"/>
    <w:rsid w:val="0038197B"/>
    <w:rsid w:val="00381C7A"/>
    <w:rsid w:val="00382CBD"/>
    <w:rsid w:val="003833A5"/>
    <w:rsid w:val="003837D3"/>
    <w:rsid w:val="00383812"/>
    <w:rsid w:val="00385592"/>
    <w:rsid w:val="00385F6F"/>
    <w:rsid w:val="00386041"/>
    <w:rsid w:val="00386325"/>
    <w:rsid w:val="00386512"/>
    <w:rsid w:val="00386765"/>
    <w:rsid w:val="00386A4D"/>
    <w:rsid w:val="00387216"/>
    <w:rsid w:val="003873E6"/>
    <w:rsid w:val="0038773C"/>
    <w:rsid w:val="0039039E"/>
    <w:rsid w:val="00390CAC"/>
    <w:rsid w:val="00390D6D"/>
    <w:rsid w:val="0039268C"/>
    <w:rsid w:val="003929BB"/>
    <w:rsid w:val="00392B1C"/>
    <w:rsid w:val="00392E8E"/>
    <w:rsid w:val="00393345"/>
    <w:rsid w:val="003933E2"/>
    <w:rsid w:val="003935BC"/>
    <w:rsid w:val="00393900"/>
    <w:rsid w:val="003941B3"/>
    <w:rsid w:val="0039501D"/>
    <w:rsid w:val="00395610"/>
    <w:rsid w:val="00395822"/>
    <w:rsid w:val="00396378"/>
    <w:rsid w:val="003970B3"/>
    <w:rsid w:val="003971FB"/>
    <w:rsid w:val="003A10D5"/>
    <w:rsid w:val="003A1E9B"/>
    <w:rsid w:val="003A1FAD"/>
    <w:rsid w:val="003A2EC3"/>
    <w:rsid w:val="003A2FEC"/>
    <w:rsid w:val="003A387F"/>
    <w:rsid w:val="003A4891"/>
    <w:rsid w:val="003A4CA5"/>
    <w:rsid w:val="003A4FB4"/>
    <w:rsid w:val="003A5115"/>
    <w:rsid w:val="003A5C45"/>
    <w:rsid w:val="003A6960"/>
    <w:rsid w:val="003A72DF"/>
    <w:rsid w:val="003A79F2"/>
    <w:rsid w:val="003B0226"/>
    <w:rsid w:val="003B045C"/>
    <w:rsid w:val="003B0C4E"/>
    <w:rsid w:val="003B124F"/>
    <w:rsid w:val="003B2134"/>
    <w:rsid w:val="003B493F"/>
    <w:rsid w:val="003B4BD6"/>
    <w:rsid w:val="003B50C0"/>
    <w:rsid w:val="003B520B"/>
    <w:rsid w:val="003B58A9"/>
    <w:rsid w:val="003B5E65"/>
    <w:rsid w:val="003B6149"/>
    <w:rsid w:val="003B678F"/>
    <w:rsid w:val="003B6F2E"/>
    <w:rsid w:val="003B70DF"/>
    <w:rsid w:val="003B7B3C"/>
    <w:rsid w:val="003B7C55"/>
    <w:rsid w:val="003C01CC"/>
    <w:rsid w:val="003C079D"/>
    <w:rsid w:val="003C0D91"/>
    <w:rsid w:val="003C1158"/>
    <w:rsid w:val="003C149C"/>
    <w:rsid w:val="003C175D"/>
    <w:rsid w:val="003C24FB"/>
    <w:rsid w:val="003C2538"/>
    <w:rsid w:val="003C3E2B"/>
    <w:rsid w:val="003C535B"/>
    <w:rsid w:val="003C7003"/>
    <w:rsid w:val="003C7639"/>
    <w:rsid w:val="003C79FF"/>
    <w:rsid w:val="003D00B9"/>
    <w:rsid w:val="003D03D1"/>
    <w:rsid w:val="003D0E11"/>
    <w:rsid w:val="003D23EC"/>
    <w:rsid w:val="003D29AB"/>
    <w:rsid w:val="003D305C"/>
    <w:rsid w:val="003D3379"/>
    <w:rsid w:val="003D376C"/>
    <w:rsid w:val="003D381A"/>
    <w:rsid w:val="003D3C13"/>
    <w:rsid w:val="003D3EA1"/>
    <w:rsid w:val="003D437D"/>
    <w:rsid w:val="003D4387"/>
    <w:rsid w:val="003D4393"/>
    <w:rsid w:val="003D456B"/>
    <w:rsid w:val="003D4888"/>
    <w:rsid w:val="003D559B"/>
    <w:rsid w:val="003D5E86"/>
    <w:rsid w:val="003D6656"/>
    <w:rsid w:val="003D70EB"/>
    <w:rsid w:val="003D7253"/>
    <w:rsid w:val="003D7978"/>
    <w:rsid w:val="003E1750"/>
    <w:rsid w:val="003E18EE"/>
    <w:rsid w:val="003E2320"/>
    <w:rsid w:val="003E26C4"/>
    <w:rsid w:val="003E26C9"/>
    <w:rsid w:val="003E3111"/>
    <w:rsid w:val="003E337E"/>
    <w:rsid w:val="003E378C"/>
    <w:rsid w:val="003E379D"/>
    <w:rsid w:val="003E37AE"/>
    <w:rsid w:val="003E3929"/>
    <w:rsid w:val="003E3B66"/>
    <w:rsid w:val="003E58B0"/>
    <w:rsid w:val="003E5F2B"/>
    <w:rsid w:val="003E6250"/>
    <w:rsid w:val="003E65E7"/>
    <w:rsid w:val="003E75BE"/>
    <w:rsid w:val="003E781E"/>
    <w:rsid w:val="003E7B06"/>
    <w:rsid w:val="003E7FEF"/>
    <w:rsid w:val="003F1F2C"/>
    <w:rsid w:val="003F2121"/>
    <w:rsid w:val="003F2821"/>
    <w:rsid w:val="003F2B2A"/>
    <w:rsid w:val="003F35B9"/>
    <w:rsid w:val="003F35D5"/>
    <w:rsid w:val="003F57FA"/>
    <w:rsid w:val="003F5E5C"/>
    <w:rsid w:val="003F742B"/>
    <w:rsid w:val="00400CE9"/>
    <w:rsid w:val="004012E1"/>
    <w:rsid w:val="0040151F"/>
    <w:rsid w:val="00401640"/>
    <w:rsid w:val="0040306C"/>
    <w:rsid w:val="00403D6C"/>
    <w:rsid w:val="00404D41"/>
    <w:rsid w:val="0040646E"/>
    <w:rsid w:val="004069E9"/>
    <w:rsid w:val="0040730B"/>
    <w:rsid w:val="004076CE"/>
    <w:rsid w:val="00407F23"/>
    <w:rsid w:val="0041065D"/>
    <w:rsid w:val="00411BC2"/>
    <w:rsid w:val="00413AC4"/>
    <w:rsid w:val="0041626B"/>
    <w:rsid w:val="00416B46"/>
    <w:rsid w:val="00420013"/>
    <w:rsid w:val="004207F5"/>
    <w:rsid w:val="00420935"/>
    <w:rsid w:val="00420FC6"/>
    <w:rsid w:val="00421481"/>
    <w:rsid w:val="004214A1"/>
    <w:rsid w:val="004217ED"/>
    <w:rsid w:val="00422669"/>
    <w:rsid w:val="00423434"/>
    <w:rsid w:val="00423D94"/>
    <w:rsid w:val="00424B01"/>
    <w:rsid w:val="00425234"/>
    <w:rsid w:val="004254CC"/>
    <w:rsid w:val="0042555D"/>
    <w:rsid w:val="004255A0"/>
    <w:rsid w:val="00425A1B"/>
    <w:rsid w:val="00425D2E"/>
    <w:rsid w:val="0042650A"/>
    <w:rsid w:val="0042665A"/>
    <w:rsid w:val="004271CA"/>
    <w:rsid w:val="004276FA"/>
    <w:rsid w:val="00427ED0"/>
    <w:rsid w:val="004306B6"/>
    <w:rsid w:val="00430A90"/>
    <w:rsid w:val="00430D94"/>
    <w:rsid w:val="0043233B"/>
    <w:rsid w:val="004327CF"/>
    <w:rsid w:val="004328A2"/>
    <w:rsid w:val="004336B0"/>
    <w:rsid w:val="00433BF7"/>
    <w:rsid w:val="0043410E"/>
    <w:rsid w:val="00434E58"/>
    <w:rsid w:val="00436558"/>
    <w:rsid w:val="00436D3C"/>
    <w:rsid w:val="00441086"/>
    <w:rsid w:val="0044113E"/>
    <w:rsid w:val="0044252B"/>
    <w:rsid w:val="00442EC9"/>
    <w:rsid w:val="0044308A"/>
    <w:rsid w:val="00443205"/>
    <w:rsid w:val="00443460"/>
    <w:rsid w:val="0044349B"/>
    <w:rsid w:val="004439CB"/>
    <w:rsid w:val="00443A86"/>
    <w:rsid w:val="00444226"/>
    <w:rsid w:val="00444B56"/>
    <w:rsid w:val="0044553B"/>
    <w:rsid w:val="00445C23"/>
    <w:rsid w:val="00445D9B"/>
    <w:rsid w:val="004463F6"/>
    <w:rsid w:val="004466EC"/>
    <w:rsid w:val="00447568"/>
    <w:rsid w:val="00447931"/>
    <w:rsid w:val="00447B2F"/>
    <w:rsid w:val="004500B2"/>
    <w:rsid w:val="0045062F"/>
    <w:rsid w:val="00450873"/>
    <w:rsid w:val="004508DB"/>
    <w:rsid w:val="00450E8A"/>
    <w:rsid w:val="00451106"/>
    <w:rsid w:val="004512FD"/>
    <w:rsid w:val="00451DB7"/>
    <w:rsid w:val="004528E6"/>
    <w:rsid w:val="00452E7C"/>
    <w:rsid w:val="00453154"/>
    <w:rsid w:val="0045359A"/>
    <w:rsid w:val="00453BC1"/>
    <w:rsid w:val="00454BEF"/>
    <w:rsid w:val="0045504E"/>
    <w:rsid w:val="00455249"/>
    <w:rsid w:val="004553AE"/>
    <w:rsid w:val="00455490"/>
    <w:rsid w:val="00455F64"/>
    <w:rsid w:val="00456288"/>
    <w:rsid w:val="004562E6"/>
    <w:rsid w:val="00456662"/>
    <w:rsid w:val="00457434"/>
    <w:rsid w:val="00457529"/>
    <w:rsid w:val="0045785D"/>
    <w:rsid w:val="00457BB3"/>
    <w:rsid w:val="00457C8F"/>
    <w:rsid w:val="00460436"/>
    <w:rsid w:val="00460C97"/>
    <w:rsid w:val="00462BD0"/>
    <w:rsid w:val="00463C56"/>
    <w:rsid w:val="0046468A"/>
    <w:rsid w:val="004653BF"/>
    <w:rsid w:val="00466342"/>
    <w:rsid w:val="00466DF6"/>
    <w:rsid w:val="00467DFC"/>
    <w:rsid w:val="00472526"/>
    <w:rsid w:val="0047260F"/>
    <w:rsid w:val="00472CA2"/>
    <w:rsid w:val="00473700"/>
    <w:rsid w:val="004748C4"/>
    <w:rsid w:val="0047516E"/>
    <w:rsid w:val="00475B01"/>
    <w:rsid w:val="00476730"/>
    <w:rsid w:val="00476A74"/>
    <w:rsid w:val="00476AA5"/>
    <w:rsid w:val="004774C8"/>
    <w:rsid w:val="00477984"/>
    <w:rsid w:val="004800C0"/>
    <w:rsid w:val="00480C9F"/>
    <w:rsid w:val="004815AA"/>
    <w:rsid w:val="004830B6"/>
    <w:rsid w:val="00483DC5"/>
    <w:rsid w:val="00484979"/>
    <w:rsid w:val="00484A01"/>
    <w:rsid w:val="00484D05"/>
    <w:rsid w:val="00484EAA"/>
    <w:rsid w:val="004859EC"/>
    <w:rsid w:val="00485A86"/>
    <w:rsid w:val="00485AFB"/>
    <w:rsid w:val="004863FA"/>
    <w:rsid w:val="00486D5B"/>
    <w:rsid w:val="00486E90"/>
    <w:rsid w:val="00487464"/>
    <w:rsid w:val="00487B10"/>
    <w:rsid w:val="00487BF0"/>
    <w:rsid w:val="00487F75"/>
    <w:rsid w:val="00490EF4"/>
    <w:rsid w:val="0049107A"/>
    <w:rsid w:val="004912FC"/>
    <w:rsid w:val="00491C41"/>
    <w:rsid w:val="00491E58"/>
    <w:rsid w:val="0049269E"/>
    <w:rsid w:val="00492EDD"/>
    <w:rsid w:val="00493110"/>
    <w:rsid w:val="00493A00"/>
    <w:rsid w:val="00493C02"/>
    <w:rsid w:val="00494174"/>
    <w:rsid w:val="00494348"/>
    <w:rsid w:val="00495022"/>
    <w:rsid w:val="004957E4"/>
    <w:rsid w:val="004959C4"/>
    <w:rsid w:val="00495AD5"/>
    <w:rsid w:val="00495BCE"/>
    <w:rsid w:val="00496940"/>
    <w:rsid w:val="00496B99"/>
    <w:rsid w:val="00496D5B"/>
    <w:rsid w:val="0049704E"/>
    <w:rsid w:val="00497E76"/>
    <w:rsid w:val="004A155C"/>
    <w:rsid w:val="004A1D50"/>
    <w:rsid w:val="004A1DD9"/>
    <w:rsid w:val="004A1F34"/>
    <w:rsid w:val="004A2729"/>
    <w:rsid w:val="004A2CC7"/>
    <w:rsid w:val="004A34D7"/>
    <w:rsid w:val="004A3832"/>
    <w:rsid w:val="004A3A6F"/>
    <w:rsid w:val="004A4B8C"/>
    <w:rsid w:val="004A556A"/>
    <w:rsid w:val="004A5B7A"/>
    <w:rsid w:val="004A69CC"/>
    <w:rsid w:val="004A7B25"/>
    <w:rsid w:val="004A7BB2"/>
    <w:rsid w:val="004B02D7"/>
    <w:rsid w:val="004B047C"/>
    <w:rsid w:val="004B0D02"/>
    <w:rsid w:val="004B0D73"/>
    <w:rsid w:val="004B0E16"/>
    <w:rsid w:val="004B1060"/>
    <w:rsid w:val="004B2C89"/>
    <w:rsid w:val="004B2CF4"/>
    <w:rsid w:val="004B3D15"/>
    <w:rsid w:val="004B3F35"/>
    <w:rsid w:val="004B40FC"/>
    <w:rsid w:val="004B4727"/>
    <w:rsid w:val="004B47C0"/>
    <w:rsid w:val="004B4839"/>
    <w:rsid w:val="004B6303"/>
    <w:rsid w:val="004B63AC"/>
    <w:rsid w:val="004B6736"/>
    <w:rsid w:val="004B74E8"/>
    <w:rsid w:val="004B7EBC"/>
    <w:rsid w:val="004B7ECF"/>
    <w:rsid w:val="004C0C18"/>
    <w:rsid w:val="004C12C1"/>
    <w:rsid w:val="004C2471"/>
    <w:rsid w:val="004C2858"/>
    <w:rsid w:val="004C2B28"/>
    <w:rsid w:val="004C2BA7"/>
    <w:rsid w:val="004C2F4D"/>
    <w:rsid w:val="004C40CD"/>
    <w:rsid w:val="004C4278"/>
    <w:rsid w:val="004C4434"/>
    <w:rsid w:val="004C44CC"/>
    <w:rsid w:val="004C5E04"/>
    <w:rsid w:val="004C655C"/>
    <w:rsid w:val="004C69F7"/>
    <w:rsid w:val="004C7766"/>
    <w:rsid w:val="004C7781"/>
    <w:rsid w:val="004C7F13"/>
    <w:rsid w:val="004D03D4"/>
    <w:rsid w:val="004D153E"/>
    <w:rsid w:val="004D2588"/>
    <w:rsid w:val="004D25A3"/>
    <w:rsid w:val="004D2A2C"/>
    <w:rsid w:val="004D3A42"/>
    <w:rsid w:val="004D46F4"/>
    <w:rsid w:val="004D4969"/>
    <w:rsid w:val="004D5860"/>
    <w:rsid w:val="004D5B2B"/>
    <w:rsid w:val="004D6ED7"/>
    <w:rsid w:val="004E0A95"/>
    <w:rsid w:val="004E294A"/>
    <w:rsid w:val="004E2FAE"/>
    <w:rsid w:val="004E32C6"/>
    <w:rsid w:val="004E40BE"/>
    <w:rsid w:val="004E40C5"/>
    <w:rsid w:val="004E43BF"/>
    <w:rsid w:val="004E4688"/>
    <w:rsid w:val="004E4E9C"/>
    <w:rsid w:val="004E5DAA"/>
    <w:rsid w:val="004E69AD"/>
    <w:rsid w:val="004E6CD7"/>
    <w:rsid w:val="004E703B"/>
    <w:rsid w:val="004F02BB"/>
    <w:rsid w:val="004F0D4B"/>
    <w:rsid w:val="004F0E5A"/>
    <w:rsid w:val="004F1A73"/>
    <w:rsid w:val="004F1D0F"/>
    <w:rsid w:val="004F1ED5"/>
    <w:rsid w:val="004F2C58"/>
    <w:rsid w:val="004F3F07"/>
    <w:rsid w:val="004F4F28"/>
    <w:rsid w:val="004F5AAB"/>
    <w:rsid w:val="004F6835"/>
    <w:rsid w:val="004F6B30"/>
    <w:rsid w:val="00500E1C"/>
    <w:rsid w:val="0050100A"/>
    <w:rsid w:val="0050110B"/>
    <w:rsid w:val="005013D2"/>
    <w:rsid w:val="0050180A"/>
    <w:rsid w:val="00501F92"/>
    <w:rsid w:val="005023D1"/>
    <w:rsid w:val="005023DD"/>
    <w:rsid w:val="00503936"/>
    <w:rsid w:val="0050408B"/>
    <w:rsid w:val="0050424D"/>
    <w:rsid w:val="00504390"/>
    <w:rsid w:val="00504461"/>
    <w:rsid w:val="00504873"/>
    <w:rsid w:val="005051A5"/>
    <w:rsid w:val="00505599"/>
    <w:rsid w:val="00505EDE"/>
    <w:rsid w:val="005072BF"/>
    <w:rsid w:val="00507540"/>
    <w:rsid w:val="00507EAE"/>
    <w:rsid w:val="00510D3B"/>
    <w:rsid w:val="00511019"/>
    <w:rsid w:val="0051376C"/>
    <w:rsid w:val="00513787"/>
    <w:rsid w:val="00513A09"/>
    <w:rsid w:val="00513F58"/>
    <w:rsid w:val="0051554E"/>
    <w:rsid w:val="005157A9"/>
    <w:rsid w:val="005157C0"/>
    <w:rsid w:val="005162D4"/>
    <w:rsid w:val="00517F76"/>
    <w:rsid w:val="00520CEA"/>
    <w:rsid w:val="0052124E"/>
    <w:rsid w:val="005215C2"/>
    <w:rsid w:val="005218D8"/>
    <w:rsid w:val="005223DC"/>
    <w:rsid w:val="00522403"/>
    <w:rsid w:val="00522801"/>
    <w:rsid w:val="00522DCA"/>
    <w:rsid w:val="00522E18"/>
    <w:rsid w:val="00523046"/>
    <w:rsid w:val="0052394C"/>
    <w:rsid w:val="005239B0"/>
    <w:rsid w:val="0052428B"/>
    <w:rsid w:val="0052492D"/>
    <w:rsid w:val="0052557E"/>
    <w:rsid w:val="00525738"/>
    <w:rsid w:val="00525FB8"/>
    <w:rsid w:val="005263AA"/>
    <w:rsid w:val="005269E8"/>
    <w:rsid w:val="005274AC"/>
    <w:rsid w:val="005278EA"/>
    <w:rsid w:val="00527C5F"/>
    <w:rsid w:val="00530B92"/>
    <w:rsid w:val="005316F9"/>
    <w:rsid w:val="0053187C"/>
    <w:rsid w:val="00531FA4"/>
    <w:rsid w:val="005327B5"/>
    <w:rsid w:val="005330BB"/>
    <w:rsid w:val="005337FD"/>
    <w:rsid w:val="00534610"/>
    <w:rsid w:val="0053469C"/>
    <w:rsid w:val="00534B38"/>
    <w:rsid w:val="00534DA3"/>
    <w:rsid w:val="00536B65"/>
    <w:rsid w:val="00540DAB"/>
    <w:rsid w:val="00541CF3"/>
    <w:rsid w:val="00542886"/>
    <w:rsid w:val="00542C4A"/>
    <w:rsid w:val="00543169"/>
    <w:rsid w:val="0054388A"/>
    <w:rsid w:val="005438A7"/>
    <w:rsid w:val="00543A33"/>
    <w:rsid w:val="0054402A"/>
    <w:rsid w:val="00544B98"/>
    <w:rsid w:val="00544EAA"/>
    <w:rsid w:val="005458EB"/>
    <w:rsid w:val="005466F2"/>
    <w:rsid w:val="00546914"/>
    <w:rsid w:val="00546C7B"/>
    <w:rsid w:val="00546E82"/>
    <w:rsid w:val="005470F4"/>
    <w:rsid w:val="00550BF9"/>
    <w:rsid w:val="00550CC9"/>
    <w:rsid w:val="00551874"/>
    <w:rsid w:val="005520FC"/>
    <w:rsid w:val="0055260F"/>
    <w:rsid w:val="00552952"/>
    <w:rsid w:val="00553143"/>
    <w:rsid w:val="005532AE"/>
    <w:rsid w:val="0055427B"/>
    <w:rsid w:val="005543C6"/>
    <w:rsid w:val="00554AB2"/>
    <w:rsid w:val="00554EBD"/>
    <w:rsid w:val="00555574"/>
    <w:rsid w:val="00556829"/>
    <w:rsid w:val="00556965"/>
    <w:rsid w:val="00556A1D"/>
    <w:rsid w:val="00556BF4"/>
    <w:rsid w:val="00556EA6"/>
    <w:rsid w:val="0055787F"/>
    <w:rsid w:val="00557C44"/>
    <w:rsid w:val="005601AA"/>
    <w:rsid w:val="005607D8"/>
    <w:rsid w:val="0056113A"/>
    <w:rsid w:val="00562174"/>
    <w:rsid w:val="005624AB"/>
    <w:rsid w:val="00563AE8"/>
    <w:rsid w:val="005646AF"/>
    <w:rsid w:val="0056556D"/>
    <w:rsid w:val="005657F7"/>
    <w:rsid w:val="00565EF4"/>
    <w:rsid w:val="005662C3"/>
    <w:rsid w:val="00566507"/>
    <w:rsid w:val="00566582"/>
    <w:rsid w:val="005675A8"/>
    <w:rsid w:val="00567981"/>
    <w:rsid w:val="00567AE2"/>
    <w:rsid w:val="005700A2"/>
    <w:rsid w:val="005702D8"/>
    <w:rsid w:val="00571B2E"/>
    <w:rsid w:val="00572B25"/>
    <w:rsid w:val="005739AB"/>
    <w:rsid w:val="00574AF7"/>
    <w:rsid w:val="00574FDB"/>
    <w:rsid w:val="00575265"/>
    <w:rsid w:val="00575684"/>
    <w:rsid w:val="005756BE"/>
    <w:rsid w:val="00575D97"/>
    <w:rsid w:val="00576322"/>
    <w:rsid w:val="00576407"/>
    <w:rsid w:val="005765FC"/>
    <w:rsid w:val="00576F0C"/>
    <w:rsid w:val="005776BF"/>
    <w:rsid w:val="005776C7"/>
    <w:rsid w:val="005777E4"/>
    <w:rsid w:val="005803E0"/>
    <w:rsid w:val="005805CE"/>
    <w:rsid w:val="00581BB7"/>
    <w:rsid w:val="00581C5E"/>
    <w:rsid w:val="00581F18"/>
    <w:rsid w:val="00582895"/>
    <w:rsid w:val="005843CE"/>
    <w:rsid w:val="0058449A"/>
    <w:rsid w:val="005845E1"/>
    <w:rsid w:val="00585226"/>
    <w:rsid w:val="00585C76"/>
    <w:rsid w:val="00585E36"/>
    <w:rsid w:val="0058653B"/>
    <w:rsid w:val="00587C7C"/>
    <w:rsid w:val="005900E3"/>
    <w:rsid w:val="00590F92"/>
    <w:rsid w:val="00592984"/>
    <w:rsid w:val="005929E0"/>
    <w:rsid w:val="00592C90"/>
    <w:rsid w:val="00592F8C"/>
    <w:rsid w:val="00593389"/>
    <w:rsid w:val="0059419F"/>
    <w:rsid w:val="00594754"/>
    <w:rsid w:val="0059525F"/>
    <w:rsid w:val="00595B3B"/>
    <w:rsid w:val="0059729A"/>
    <w:rsid w:val="005976CD"/>
    <w:rsid w:val="0059788C"/>
    <w:rsid w:val="00597F36"/>
    <w:rsid w:val="005A0100"/>
    <w:rsid w:val="005A08C2"/>
    <w:rsid w:val="005A14C4"/>
    <w:rsid w:val="005A16BD"/>
    <w:rsid w:val="005A22AD"/>
    <w:rsid w:val="005A2973"/>
    <w:rsid w:val="005A2D7D"/>
    <w:rsid w:val="005A47A4"/>
    <w:rsid w:val="005A4819"/>
    <w:rsid w:val="005A4CCE"/>
    <w:rsid w:val="005A5571"/>
    <w:rsid w:val="005A5A05"/>
    <w:rsid w:val="005A5E67"/>
    <w:rsid w:val="005A6469"/>
    <w:rsid w:val="005A6D4C"/>
    <w:rsid w:val="005A7105"/>
    <w:rsid w:val="005A71FD"/>
    <w:rsid w:val="005A735C"/>
    <w:rsid w:val="005A7F6A"/>
    <w:rsid w:val="005B07C3"/>
    <w:rsid w:val="005B1652"/>
    <w:rsid w:val="005B1747"/>
    <w:rsid w:val="005B1F9F"/>
    <w:rsid w:val="005B2098"/>
    <w:rsid w:val="005B2907"/>
    <w:rsid w:val="005B2984"/>
    <w:rsid w:val="005B2C45"/>
    <w:rsid w:val="005B3168"/>
    <w:rsid w:val="005B394C"/>
    <w:rsid w:val="005B3DC3"/>
    <w:rsid w:val="005B4626"/>
    <w:rsid w:val="005B5375"/>
    <w:rsid w:val="005B5A2A"/>
    <w:rsid w:val="005B6220"/>
    <w:rsid w:val="005B6781"/>
    <w:rsid w:val="005B6954"/>
    <w:rsid w:val="005B6B39"/>
    <w:rsid w:val="005B6C57"/>
    <w:rsid w:val="005B6D8D"/>
    <w:rsid w:val="005B6E4E"/>
    <w:rsid w:val="005B7542"/>
    <w:rsid w:val="005B75E9"/>
    <w:rsid w:val="005B7EDC"/>
    <w:rsid w:val="005C09D5"/>
    <w:rsid w:val="005C124F"/>
    <w:rsid w:val="005C1780"/>
    <w:rsid w:val="005C2085"/>
    <w:rsid w:val="005C3E3C"/>
    <w:rsid w:val="005C3F93"/>
    <w:rsid w:val="005C4423"/>
    <w:rsid w:val="005C44AC"/>
    <w:rsid w:val="005C4510"/>
    <w:rsid w:val="005C453A"/>
    <w:rsid w:val="005C5D3A"/>
    <w:rsid w:val="005C6A74"/>
    <w:rsid w:val="005C70D2"/>
    <w:rsid w:val="005C77C9"/>
    <w:rsid w:val="005C7DA4"/>
    <w:rsid w:val="005D00DB"/>
    <w:rsid w:val="005D0BCA"/>
    <w:rsid w:val="005D18CC"/>
    <w:rsid w:val="005D350A"/>
    <w:rsid w:val="005D38A0"/>
    <w:rsid w:val="005D4E1E"/>
    <w:rsid w:val="005D4FD8"/>
    <w:rsid w:val="005D549D"/>
    <w:rsid w:val="005D557E"/>
    <w:rsid w:val="005D5B7E"/>
    <w:rsid w:val="005D62FA"/>
    <w:rsid w:val="005D6F6A"/>
    <w:rsid w:val="005E0FE5"/>
    <w:rsid w:val="005E15F8"/>
    <w:rsid w:val="005E1719"/>
    <w:rsid w:val="005E2A9C"/>
    <w:rsid w:val="005E2BAB"/>
    <w:rsid w:val="005E2D58"/>
    <w:rsid w:val="005E32DE"/>
    <w:rsid w:val="005E353D"/>
    <w:rsid w:val="005E383D"/>
    <w:rsid w:val="005E3971"/>
    <w:rsid w:val="005E496F"/>
    <w:rsid w:val="005E50DD"/>
    <w:rsid w:val="005E5274"/>
    <w:rsid w:val="005E68F5"/>
    <w:rsid w:val="005E69AF"/>
    <w:rsid w:val="005E73B9"/>
    <w:rsid w:val="005E7DFF"/>
    <w:rsid w:val="005F037B"/>
    <w:rsid w:val="005F0AA5"/>
    <w:rsid w:val="005F28D6"/>
    <w:rsid w:val="005F2C57"/>
    <w:rsid w:val="005F4602"/>
    <w:rsid w:val="005F4CE1"/>
    <w:rsid w:val="005F540B"/>
    <w:rsid w:val="005F579E"/>
    <w:rsid w:val="005F5DF2"/>
    <w:rsid w:val="005F6998"/>
    <w:rsid w:val="005F69F0"/>
    <w:rsid w:val="005F6E67"/>
    <w:rsid w:val="005F74FE"/>
    <w:rsid w:val="0060006C"/>
    <w:rsid w:val="0060104A"/>
    <w:rsid w:val="00602133"/>
    <w:rsid w:val="006029BF"/>
    <w:rsid w:val="00602BC1"/>
    <w:rsid w:val="00602E35"/>
    <w:rsid w:val="00604878"/>
    <w:rsid w:val="00604A0D"/>
    <w:rsid w:val="00605C5D"/>
    <w:rsid w:val="0060644F"/>
    <w:rsid w:val="006064A9"/>
    <w:rsid w:val="0060685C"/>
    <w:rsid w:val="00607F2E"/>
    <w:rsid w:val="006105FC"/>
    <w:rsid w:val="0061078A"/>
    <w:rsid w:val="00611306"/>
    <w:rsid w:val="00611D12"/>
    <w:rsid w:val="00612590"/>
    <w:rsid w:val="00612706"/>
    <w:rsid w:val="00612AC9"/>
    <w:rsid w:val="00612EC8"/>
    <w:rsid w:val="006133D2"/>
    <w:rsid w:val="00613508"/>
    <w:rsid w:val="0061425F"/>
    <w:rsid w:val="006142A7"/>
    <w:rsid w:val="0061433F"/>
    <w:rsid w:val="00614BD0"/>
    <w:rsid w:val="00615CF3"/>
    <w:rsid w:val="00616302"/>
    <w:rsid w:val="0061649B"/>
    <w:rsid w:val="00616686"/>
    <w:rsid w:val="00616919"/>
    <w:rsid w:val="0061695C"/>
    <w:rsid w:val="00617270"/>
    <w:rsid w:val="00617AE2"/>
    <w:rsid w:val="00620280"/>
    <w:rsid w:val="00620C3F"/>
    <w:rsid w:val="00620F6B"/>
    <w:rsid w:val="006220FC"/>
    <w:rsid w:val="0062244D"/>
    <w:rsid w:val="006232C9"/>
    <w:rsid w:val="00623D8E"/>
    <w:rsid w:val="0062436D"/>
    <w:rsid w:val="0062442C"/>
    <w:rsid w:val="0062454D"/>
    <w:rsid w:val="00624EEF"/>
    <w:rsid w:val="00625526"/>
    <w:rsid w:val="00625EA3"/>
    <w:rsid w:val="00626228"/>
    <w:rsid w:val="00626A9A"/>
    <w:rsid w:val="00626D77"/>
    <w:rsid w:val="00627D80"/>
    <w:rsid w:val="0063044D"/>
    <w:rsid w:val="00630771"/>
    <w:rsid w:val="006309B0"/>
    <w:rsid w:val="00631BF7"/>
    <w:rsid w:val="0063278A"/>
    <w:rsid w:val="00632E02"/>
    <w:rsid w:val="006330FA"/>
    <w:rsid w:val="006333C9"/>
    <w:rsid w:val="00633847"/>
    <w:rsid w:val="0063427C"/>
    <w:rsid w:val="00636A60"/>
    <w:rsid w:val="00636ACF"/>
    <w:rsid w:val="00636CA5"/>
    <w:rsid w:val="006376E4"/>
    <w:rsid w:val="006379CB"/>
    <w:rsid w:val="00637FF7"/>
    <w:rsid w:val="0064115E"/>
    <w:rsid w:val="00641F7D"/>
    <w:rsid w:val="0064211C"/>
    <w:rsid w:val="0064354F"/>
    <w:rsid w:val="006437B8"/>
    <w:rsid w:val="006449FB"/>
    <w:rsid w:val="0064506F"/>
    <w:rsid w:val="006456C7"/>
    <w:rsid w:val="0064580D"/>
    <w:rsid w:val="0064664C"/>
    <w:rsid w:val="00647770"/>
    <w:rsid w:val="0065044F"/>
    <w:rsid w:val="00650628"/>
    <w:rsid w:val="00651440"/>
    <w:rsid w:val="006531D3"/>
    <w:rsid w:val="00653350"/>
    <w:rsid w:val="00653772"/>
    <w:rsid w:val="0065381D"/>
    <w:rsid w:val="00653904"/>
    <w:rsid w:val="00653DB2"/>
    <w:rsid w:val="00654C55"/>
    <w:rsid w:val="0065596B"/>
    <w:rsid w:val="00655E9C"/>
    <w:rsid w:val="00656947"/>
    <w:rsid w:val="00656985"/>
    <w:rsid w:val="00657583"/>
    <w:rsid w:val="0065764D"/>
    <w:rsid w:val="006578C6"/>
    <w:rsid w:val="006579D8"/>
    <w:rsid w:val="00660812"/>
    <w:rsid w:val="006610F8"/>
    <w:rsid w:val="00661C33"/>
    <w:rsid w:val="00661E05"/>
    <w:rsid w:val="00662F72"/>
    <w:rsid w:val="00662FA0"/>
    <w:rsid w:val="0066348F"/>
    <w:rsid w:val="00663AF0"/>
    <w:rsid w:val="00664C46"/>
    <w:rsid w:val="00665844"/>
    <w:rsid w:val="0067008F"/>
    <w:rsid w:val="006711A1"/>
    <w:rsid w:val="006717E1"/>
    <w:rsid w:val="006720BA"/>
    <w:rsid w:val="00673565"/>
    <w:rsid w:val="00673B63"/>
    <w:rsid w:val="006741B2"/>
    <w:rsid w:val="006760FF"/>
    <w:rsid w:val="00676350"/>
    <w:rsid w:val="0067666B"/>
    <w:rsid w:val="006770AC"/>
    <w:rsid w:val="0067723F"/>
    <w:rsid w:val="006778B9"/>
    <w:rsid w:val="00677B19"/>
    <w:rsid w:val="00677DD1"/>
    <w:rsid w:val="00680062"/>
    <w:rsid w:val="006807C2"/>
    <w:rsid w:val="0068091B"/>
    <w:rsid w:val="00680C7E"/>
    <w:rsid w:val="00680DC0"/>
    <w:rsid w:val="00680E71"/>
    <w:rsid w:val="0068115F"/>
    <w:rsid w:val="0068174E"/>
    <w:rsid w:val="00682496"/>
    <w:rsid w:val="0068295B"/>
    <w:rsid w:val="00683270"/>
    <w:rsid w:val="00683586"/>
    <w:rsid w:val="006835BB"/>
    <w:rsid w:val="00683DCA"/>
    <w:rsid w:val="00684307"/>
    <w:rsid w:val="0068469B"/>
    <w:rsid w:val="00685C66"/>
    <w:rsid w:val="00685CD8"/>
    <w:rsid w:val="006861A6"/>
    <w:rsid w:val="00686A7D"/>
    <w:rsid w:val="00686C46"/>
    <w:rsid w:val="00686D1F"/>
    <w:rsid w:val="00686F32"/>
    <w:rsid w:val="00687197"/>
    <w:rsid w:val="006901D9"/>
    <w:rsid w:val="0069071C"/>
    <w:rsid w:val="00690F82"/>
    <w:rsid w:val="00691012"/>
    <w:rsid w:val="0069188C"/>
    <w:rsid w:val="0069228A"/>
    <w:rsid w:val="0069254C"/>
    <w:rsid w:val="0069266B"/>
    <w:rsid w:val="0069272B"/>
    <w:rsid w:val="006935FE"/>
    <w:rsid w:val="006939EB"/>
    <w:rsid w:val="00693D9C"/>
    <w:rsid w:val="00694189"/>
    <w:rsid w:val="006942FB"/>
    <w:rsid w:val="00694DDE"/>
    <w:rsid w:val="00694E5B"/>
    <w:rsid w:val="006953FB"/>
    <w:rsid w:val="00695902"/>
    <w:rsid w:val="006961AD"/>
    <w:rsid w:val="006963C7"/>
    <w:rsid w:val="00697374"/>
    <w:rsid w:val="00697B6C"/>
    <w:rsid w:val="00697F97"/>
    <w:rsid w:val="006A059D"/>
    <w:rsid w:val="006A0A9F"/>
    <w:rsid w:val="006A0DB8"/>
    <w:rsid w:val="006A190E"/>
    <w:rsid w:val="006A1B80"/>
    <w:rsid w:val="006A1C9C"/>
    <w:rsid w:val="006A1CF3"/>
    <w:rsid w:val="006A2504"/>
    <w:rsid w:val="006A26D7"/>
    <w:rsid w:val="006A2928"/>
    <w:rsid w:val="006A3256"/>
    <w:rsid w:val="006A35CA"/>
    <w:rsid w:val="006A3BAC"/>
    <w:rsid w:val="006A3D17"/>
    <w:rsid w:val="006A45BD"/>
    <w:rsid w:val="006A4F79"/>
    <w:rsid w:val="006A5D25"/>
    <w:rsid w:val="006A5F0D"/>
    <w:rsid w:val="006A6CA9"/>
    <w:rsid w:val="006A6F3F"/>
    <w:rsid w:val="006A72EB"/>
    <w:rsid w:val="006A76C4"/>
    <w:rsid w:val="006A7E41"/>
    <w:rsid w:val="006B065B"/>
    <w:rsid w:val="006B0BAE"/>
    <w:rsid w:val="006B0DA2"/>
    <w:rsid w:val="006B19ED"/>
    <w:rsid w:val="006B1D1F"/>
    <w:rsid w:val="006B2200"/>
    <w:rsid w:val="006B235E"/>
    <w:rsid w:val="006B2449"/>
    <w:rsid w:val="006B263C"/>
    <w:rsid w:val="006B3282"/>
    <w:rsid w:val="006B4233"/>
    <w:rsid w:val="006B4591"/>
    <w:rsid w:val="006B53B0"/>
    <w:rsid w:val="006B5540"/>
    <w:rsid w:val="006B59A8"/>
    <w:rsid w:val="006B7339"/>
    <w:rsid w:val="006B7C3D"/>
    <w:rsid w:val="006C004B"/>
    <w:rsid w:val="006C07A0"/>
    <w:rsid w:val="006C0D08"/>
    <w:rsid w:val="006C102E"/>
    <w:rsid w:val="006C192D"/>
    <w:rsid w:val="006C1B4E"/>
    <w:rsid w:val="006C1D21"/>
    <w:rsid w:val="006C23B3"/>
    <w:rsid w:val="006C2742"/>
    <w:rsid w:val="006C2AE4"/>
    <w:rsid w:val="006C2AED"/>
    <w:rsid w:val="006C2BA9"/>
    <w:rsid w:val="006C428B"/>
    <w:rsid w:val="006C4B0E"/>
    <w:rsid w:val="006C4D7B"/>
    <w:rsid w:val="006C4F03"/>
    <w:rsid w:val="006C51CF"/>
    <w:rsid w:val="006C59AC"/>
    <w:rsid w:val="006C67BD"/>
    <w:rsid w:val="006C6B38"/>
    <w:rsid w:val="006D000B"/>
    <w:rsid w:val="006D0D51"/>
    <w:rsid w:val="006D26D1"/>
    <w:rsid w:val="006D2F65"/>
    <w:rsid w:val="006D36F8"/>
    <w:rsid w:val="006D4392"/>
    <w:rsid w:val="006D45B2"/>
    <w:rsid w:val="006D4604"/>
    <w:rsid w:val="006D48B4"/>
    <w:rsid w:val="006D5444"/>
    <w:rsid w:val="006D5F52"/>
    <w:rsid w:val="006D5FE9"/>
    <w:rsid w:val="006D6638"/>
    <w:rsid w:val="006D6853"/>
    <w:rsid w:val="006D7FEB"/>
    <w:rsid w:val="006E02E8"/>
    <w:rsid w:val="006E1785"/>
    <w:rsid w:val="006E1CE6"/>
    <w:rsid w:val="006E276A"/>
    <w:rsid w:val="006E2786"/>
    <w:rsid w:val="006E2A29"/>
    <w:rsid w:val="006E3388"/>
    <w:rsid w:val="006E350E"/>
    <w:rsid w:val="006E3B45"/>
    <w:rsid w:val="006E3B55"/>
    <w:rsid w:val="006E58B7"/>
    <w:rsid w:val="006E5B2E"/>
    <w:rsid w:val="006E5BE8"/>
    <w:rsid w:val="006E6802"/>
    <w:rsid w:val="006E6D08"/>
    <w:rsid w:val="006E7645"/>
    <w:rsid w:val="006E790C"/>
    <w:rsid w:val="006E7A2E"/>
    <w:rsid w:val="006F01C7"/>
    <w:rsid w:val="006F01E7"/>
    <w:rsid w:val="006F022E"/>
    <w:rsid w:val="006F0901"/>
    <w:rsid w:val="006F0BBF"/>
    <w:rsid w:val="006F1AD7"/>
    <w:rsid w:val="006F2690"/>
    <w:rsid w:val="006F2A3B"/>
    <w:rsid w:val="006F2ADD"/>
    <w:rsid w:val="006F31BF"/>
    <w:rsid w:val="006F32B9"/>
    <w:rsid w:val="006F3ECA"/>
    <w:rsid w:val="006F4137"/>
    <w:rsid w:val="006F4882"/>
    <w:rsid w:val="006F521D"/>
    <w:rsid w:val="006F5A34"/>
    <w:rsid w:val="006F7396"/>
    <w:rsid w:val="006F78EA"/>
    <w:rsid w:val="006F79EA"/>
    <w:rsid w:val="007000F3"/>
    <w:rsid w:val="007039DC"/>
    <w:rsid w:val="00703A28"/>
    <w:rsid w:val="0070415B"/>
    <w:rsid w:val="007049E6"/>
    <w:rsid w:val="00704C49"/>
    <w:rsid w:val="00705CAB"/>
    <w:rsid w:val="00706558"/>
    <w:rsid w:val="00706C4F"/>
    <w:rsid w:val="00706F88"/>
    <w:rsid w:val="0070709A"/>
    <w:rsid w:val="0070740E"/>
    <w:rsid w:val="00707496"/>
    <w:rsid w:val="00711232"/>
    <w:rsid w:val="007115BD"/>
    <w:rsid w:val="00712998"/>
    <w:rsid w:val="00713167"/>
    <w:rsid w:val="007131EE"/>
    <w:rsid w:val="007139D8"/>
    <w:rsid w:val="00713C17"/>
    <w:rsid w:val="0071421E"/>
    <w:rsid w:val="00714881"/>
    <w:rsid w:val="00714CD4"/>
    <w:rsid w:val="00714ED2"/>
    <w:rsid w:val="00715E55"/>
    <w:rsid w:val="0071709B"/>
    <w:rsid w:val="00717C9E"/>
    <w:rsid w:val="00720862"/>
    <w:rsid w:val="00720D7A"/>
    <w:rsid w:val="00721A97"/>
    <w:rsid w:val="00721D8B"/>
    <w:rsid w:val="0072227F"/>
    <w:rsid w:val="0072395D"/>
    <w:rsid w:val="00724838"/>
    <w:rsid w:val="00725B65"/>
    <w:rsid w:val="00725D80"/>
    <w:rsid w:val="007264BB"/>
    <w:rsid w:val="00727563"/>
    <w:rsid w:val="0072759A"/>
    <w:rsid w:val="00727945"/>
    <w:rsid w:val="007300BC"/>
    <w:rsid w:val="0073027D"/>
    <w:rsid w:val="007310C4"/>
    <w:rsid w:val="0073182A"/>
    <w:rsid w:val="007324EA"/>
    <w:rsid w:val="00732FEA"/>
    <w:rsid w:val="00733F93"/>
    <w:rsid w:val="00734779"/>
    <w:rsid w:val="007347CB"/>
    <w:rsid w:val="0073566B"/>
    <w:rsid w:val="00737AE3"/>
    <w:rsid w:val="00737DAA"/>
    <w:rsid w:val="00737EF7"/>
    <w:rsid w:val="007402CA"/>
    <w:rsid w:val="00740613"/>
    <w:rsid w:val="007406BC"/>
    <w:rsid w:val="007408F4"/>
    <w:rsid w:val="0074122D"/>
    <w:rsid w:val="00741C2D"/>
    <w:rsid w:val="00742033"/>
    <w:rsid w:val="007421C7"/>
    <w:rsid w:val="00742A08"/>
    <w:rsid w:val="00742B3B"/>
    <w:rsid w:val="00742C5C"/>
    <w:rsid w:val="00743EA0"/>
    <w:rsid w:val="00743F16"/>
    <w:rsid w:val="00744B42"/>
    <w:rsid w:val="00745BBE"/>
    <w:rsid w:val="00745F87"/>
    <w:rsid w:val="007464DC"/>
    <w:rsid w:val="007476D8"/>
    <w:rsid w:val="00747901"/>
    <w:rsid w:val="007505CE"/>
    <w:rsid w:val="00750C1B"/>
    <w:rsid w:val="00751D13"/>
    <w:rsid w:val="00751F5E"/>
    <w:rsid w:val="00752981"/>
    <w:rsid w:val="00752AA2"/>
    <w:rsid w:val="0075308F"/>
    <w:rsid w:val="0075375D"/>
    <w:rsid w:val="00753829"/>
    <w:rsid w:val="00753F4A"/>
    <w:rsid w:val="007545E9"/>
    <w:rsid w:val="00754699"/>
    <w:rsid w:val="00755544"/>
    <w:rsid w:val="00755CFD"/>
    <w:rsid w:val="00756C7F"/>
    <w:rsid w:val="00756D9E"/>
    <w:rsid w:val="00757B7D"/>
    <w:rsid w:val="00757BFE"/>
    <w:rsid w:val="00757E5F"/>
    <w:rsid w:val="007607EF"/>
    <w:rsid w:val="00760D34"/>
    <w:rsid w:val="0076152C"/>
    <w:rsid w:val="00761601"/>
    <w:rsid w:val="00761858"/>
    <w:rsid w:val="007619C9"/>
    <w:rsid w:val="007619D3"/>
    <w:rsid w:val="00761F6B"/>
    <w:rsid w:val="00762974"/>
    <w:rsid w:val="00762C4D"/>
    <w:rsid w:val="0076327C"/>
    <w:rsid w:val="0076420E"/>
    <w:rsid w:val="0076700C"/>
    <w:rsid w:val="00767351"/>
    <w:rsid w:val="00767718"/>
    <w:rsid w:val="007701EE"/>
    <w:rsid w:val="007704C3"/>
    <w:rsid w:val="00771903"/>
    <w:rsid w:val="00772BF2"/>
    <w:rsid w:val="00772F92"/>
    <w:rsid w:val="00773EA9"/>
    <w:rsid w:val="00774355"/>
    <w:rsid w:val="00775564"/>
    <w:rsid w:val="00775959"/>
    <w:rsid w:val="00775D53"/>
    <w:rsid w:val="00776364"/>
    <w:rsid w:val="0077661D"/>
    <w:rsid w:val="00776697"/>
    <w:rsid w:val="00776907"/>
    <w:rsid w:val="00776B82"/>
    <w:rsid w:val="00777695"/>
    <w:rsid w:val="00780051"/>
    <w:rsid w:val="007802A6"/>
    <w:rsid w:val="00780B34"/>
    <w:rsid w:val="00780BFB"/>
    <w:rsid w:val="0078106F"/>
    <w:rsid w:val="007813CD"/>
    <w:rsid w:val="00781BA3"/>
    <w:rsid w:val="007825EA"/>
    <w:rsid w:val="007828C6"/>
    <w:rsid w:val="0078322D"/>
    <w:rsid w:val="00783AE1"/>
    <w:rsid w:val="0078426C"/>
    <w:rsid w:val="0078579C"/>
    <w:rsid w:val="00785F18"/>
    <w:rsid w:val="0078678F"/>
    <w:rsid w:val="00787E22"/>
    <w:rsid w:val="00787E33"/>
    <w:rsid w:val="00790989"/>
    <w:rsid w:val="00790CDC"/>
    <w:rsid w:val="00791C84"/>
    <w:rsid w:val="00791CE4"/>
    <w:rsid w:val="0079394F"/>
    <w:rsid w:val="00794DEE"/>
    <w:rsid w:val="00794E95"/>
    <w:rsid w:val="0079533C"/>
    <w:rsid w:val="00795C73"/>
    <w:rsid w:val="00797F36"/>
    <w:rsid w:val="007A0750"/>
    <w:rsid w:val="007A1518"/>
    <w:rsid w:val="007A1AC8"/>
    <w:rsid w:val="007A24C0"/>
    <w:rsid w:val="007A2943"/>
    <w:rsid w:val="007A3193"/>
    <w:rsid w:val="007A3416"/>
    <w:rsid w:val="007A3C2A"/>
    <w:rsid w:val="007A3C37"/>
    <w:rsid w:val="007A3EF1"/>
    <w:rsid w:val="007A47AC"/>
    <w:rsid w:val="007A51B4"/>
    <w:rsid w:val="007A52B0"/>
    <w:rsid w:val="007A5547"/>
    <w:rsid w:val="007A62C9"/>
    <w:rsid w:val="007A6498"/>
    <w:rsid w:val="007A6E8A"/>
    <w:rsid w:val="007A7428"/>
    <w:rsid w:val="007A77B6"/>
    <w:rsid w:val="007B0B30"/>
    <w:rsid w:val="007B0B68"/>
    <w:rsid w:val="007B131E"/>
    <w:rsid w:val="007B17A6"/>
    <w:rsid w:val="007B303B"/>
    <w:rsid w:val="007B3558"/>
    <w:rsid w:val="007B39E5"/>
    <w:rsid w:val="007B4F0D"/>
    <w:rsid w:val="007B52D7"/>
    <w:rsid w:val="007B5CA5"/>
    <w:rsid w:val="007B6AD0"/>
    <w:rsid w:val="007C0572"/>
    <w:rsid w:val="007C3120"/>
    <w:rsid w:val="007C34B3"/>
    <w:rsid w:val="007C4029"/>
    <w:rsid w:val="007C430F"/>
    <w:rsid w:val="007C478F"/>
    <w:rsid w:val="007C4830"/>
    <w:rsid w:val="007C4A6A"/>
    <w:rsid w:val="007C4BEE"/>
    <w:rsid w:val="007C5E10"/>
    <w:rsid w:val="007C602D"/>
    <w:rsid w:val="007C6104"/>
    <w:rsid w:val="007C6649"/>
    <w:rsid w:val="007D1064"/>
    <w:rsid w:val="007D167E"/>
    <w:rsid w:val="007D1B30"/>
    <w:rsid w:val="007D27B4"/>
    <w:rsid w:val="007D3B50"/>
    <w:rsid w:val="007D698B"/>
    <w:rsid w:val="007D6E85"/>
    <w:rsid w:val="007D700E"/>
    <w:rsid w:val="007E0166"/>
    <w:rsid w:val="007E02B7"/>
    <w:rsid w:val="007E030A"/>
    <w:rsid w:val="007E0F9A"/>
    <w:rsid w:val="007E1020"/>
    <w:rsid w:val="007E16D2"/>
    <w:rsid w:val="007E16DE"/>
    <w:rsid w:val="007E1A1B"/>
    <w:rsid w:val="007E2017"/>
    <w:rsid w:val="007E21B0"/>
    <w:rsid w:val="007E2C46"/>
    <w:rsid w:val="007E3553"/>
    <w:rsid w:val="007E3600"/>
    <w:rsid w:val="007E3684"/>
    <w:rsid w:val="007E3F06"/>
    <w:rsid w:val="007E44A9"/>
    <w:rsid w:val="007E4683"/>
    <w:rsid w:val="007E4A4F"/>
    <w:rsid w:val="007E4ACA"/>
    <w:rsid w:val="007E5CC4"/>
    <w:rsid w:val="007E5D62"/>
    <w:rsid w:val="007E612F"/>
    <w:rsid w:val="007E6ACC"/>
    <w:rsid w:val="007F025C"/>
    <w:rsid w:val="007F0346"/>
    <w:rsid w:val="007F0384"/>
    <w:rsid w:val="007F0A89"/>
    <w:rsid w:val="007F0BFC"/>
    <w:rsid w:val="007F1268"/>
    <w:rsid w:val="007F153E"/>
    <w:rsid w:val="007F2A0B"/>
    <w:rsid w:val="007F3CB6"/>
    <w:rsid w:val="007F3E6A"/>
    <w:rsid w:val="007F4DCB"/>
    <w:rsid w:val="007F55AE"/>
    <w:rsid w:val="007F5F25"/>
    <w:rsid w:val="007F5F2A"/>
    <w:rsid w:val="007F6752"/>
    <w:rsid w:val="007F6F7F"/>
    <w:rsid w:val="007F75D0"/>
    <w:rsid w:val="007F779D"/>
    <w:rsid w:val="007F7B11"/>
    <w:rsid w:val="007F7D77"/>
    <w:rsid w:val="0080291B"/>
    <w:rsid w:val="00802C9E"/>
    <w:rsid w:val="008030C4"/>
    <w:rsid w:val="00803FC9"/>
    <w:rsid w:val="0080470A"/>
    <w:rsid w:val="00804838"/>
    <w:rsid w:val="00805A10"/>
    <w:rsid w:val="0080633C"/>
    <w:rsid w:val="00807406"/>
    <w:rsid w:val="0080791B"/>
    <w:rsid w:val="00807E45"/>
    <w:rsid w:val="00807FA0"/>
    <w:rsid w:val="00811288"/>
    <w:rsid w:val="008112A9"/>
    <w:rsid w:val="00811566"/>
    <w:rsid w:val="00811B99"/>
    <w:rsid w:val="00811ED8"/>
    <w:rsid w:val="00812958"/>
    <w:rsid w:val="00813FBD"/>
    <w:rsid w:val="00814C14"/>
    <w:rsid w:val="008156DE"/>
    <w:rsid w:val="0081577B"/>
    <w:rsid w:val="00815818"/>
    <w:rsid w:val="008161D9"/>
    <w:rsid w:val="00816304"/>
    <w:rsid w:val="008175DF"/>
    <w:rsid w:val="008205AD"/>
    <w:rsid w:val="00820E6E"/>
    <w:rsid w:val="0082105E"/>
    <w:rsid w:val="00821C42"/>
    <w:rsid w:val="00822AAD"/>
    <w:rsid w:val="00822BC4"/>
    <w:rsid w:val="00823789"/>
    <w:rsid w:val="008242F5"/>
    <w:rsid w:val="0082451A"/>
    <w:rsid w:val="008245E9"/>
    <w:rsid w:val="00824F08"/>
    <w:rsid w:val="00824F72"/>
    <w:rsid w:val="00825589"/>
    <w:rsid w:val="00825768"/>
    <w:rsid w:val="00826056"/>
    <w:rsid w:val="00826628"/>
    <w:rsid w:val="00826F0E"/>
    <w:rsid w:val="008274D5"/>
    <w:rsid w:val="00827550"/>
    <w:rsid w:val="00827807"/>
    <w:rsid w:val="00831010"/>
    <w:rsid w:val="00831448"/>
    <w:rsid w:val="008317EC"/>
    <w:rsid w:val="00831A02"/>
    <w:rsid w:val="00831FE4"/>
    <w:rsid w:val="0083223E"/>
    <w:rsid w:val="00832B9D"/>
    <w:rsid w:val="0083302E"/>
    <w:rsid w:val="0083351A"/>
    <w:rsid w:val="008337D1"/>
    <w:rsid w:val="00833D8F"/>
    <w:rsid w:val="00834489"/>
    <w:rsid w:val="0083448A"/>
    <w:rsid w:val="00834A7F"/>
    <w:rsid w:val="00834D73"/>
    <w:rsid w:val="008350D1"/>
    <w:rsid w:val="008353C8"/>
    <w:rsid w:val="008358CA"/>
    <w:rsid w:val="008362E7"/>
    <w:rsid w:val="008410F3"/>
    <w:rsid w:val="00841683"/>
    <w:rsid w:val="00841A8C"/>
    <w:rsid w:val="008427EF"/>
    <w:rsid w:val="008433C3"/>
    <w:rsid w:val="008448DF"/>
    <w:rsid w:val="00844CCF"/>
    <w:rsid w:val="00846128"/>
    <w:rsid w:val="008468FF"/>
    <w:rsid w:val="00846DAD"/>
    <w:rsid w:val="00846E0A"/>
    <w:rsid w:val="00846F7E"/>
    <w:rsid w:val="00847AE6"/>
    <w:rsid w:val="00847BF6"/>
    <w:rsid w:val="00850E10"/>
    <w:rsid w:val="00852145"/>
    <w:rsid w:val="00852992"/>
    <w:rsid w:val="00852C0C"/>
    <w:rsid w:val="00852DE4"/>
    <w:rsid w:val="00853207"/>
    <w:rsid w:val="008537E1"/>
    <w:rsid w:val="00853985"/>
    <w:rsid w:val="0085422C"/>
    <w:rsid w:val="00854BEE"/>
    <w:rsid w:val="00855BF9"/>
    <w:rsid w:val="00855ECD"/>
    <w:rsid w:val="00856866"/>
    <w:rsid w:val="00856BBD"/>
    <w:rsid w:val="00857868"/>
    <w:rsid w:val="008606D9"/>
    <w:rsid w:val="0086074D"/>
    <w:rsid w:val="00861166"/>
    <w:rsid w:val="00861DA5"/>
    <w:rsid w:val="00861E81"/>
    <w:rsid w:val="00862952"/>
    <w:rsid w:val="00862AF2"/>
    <w:rsid w:val="00862D60"/>
    <w:rsid w:val="00863C0C"/>
    <w:rsid w:val="0086408F"/>
    <w:rsid w:val="0086424C"/>
    <w:rsid w:val="008658E4"/>
    <w:rsid w:val="00865F54"/>
    <w:rsid w:val="008662CD"/>
    <w:rsid w:val="008664CF"/>
    <w:rsid w:val="00866728"/>
    <w:rsid w:val="008668A5"/>
    <w:rsid w:val="00866CED"/>
    <w:rsid w:val="00866D3E"/>
    <w:rsid w:val="00866E74"/>
    <w:rsid w:val="0086736A"/>
    <w:rsid w:val="00867486"/>
    <w:rsid w:val="00867982"/>
    <w:rsid w:val="00867DD9"/>
    <w:rsid w:val="0087012B"/>
    <w:rsid w:val="008701AD"/>
    <w:rsid w:val="00870EBB"/>
    <w:rsid w:val="008715FE"/>
    <w:rsid w:val="00871F65"/>
    <w:rsid w:val="0087295B"/>
    <w:rsid w:val="00874420"/>
    <w:rsid w:val="008749F9"/>
    <w:rsid w:val="00874DDB"/>
    <w:rsid w:val="0087675F"/>
    <w:rsid w:val="008768F9"/>
    <w:rsid w:val="00877042"/>
    <w:rsid w:val="008773CC"/>
    <w:rsid w:val="00877F1D"/>
    <w:rsid w:val="008804F2"/>
    <w:rsid w:val="008829EC"/>
    <w:rsid w:val="0088311D"/>
    <w:rsid w:val="00883961"/>
    <w:rsid w:val="00883FC7"/>
    <w:rsid w:val="008843F6"/>
    <w:rsid w:val="00884B46"/>
    <w:rsid w:val="00885458"/>
    <w:rsid w:val="00885684"/>
    <w:rsid w:val="008857D3"/>
    <w:rsid w:val="00885B32"/>
    <w:rsid w:val="00887378"/>
    <w:rsid w:val="00887AFF"/>
    <w:rsid w:val="00890C28"/>
    <w:rsid w:val="00891598"/>
    <w:rsid w:val="0089184E"/>
    <w:rsid w:val="00891951"/>
    <w:rsid w:val="00891BFD"/>
    <w:rsid w:val="00891D4B"/>
    <w:rsid w:val="00891D65"/>
    <w:rsid w:val="00891E96"/>
    <w:rsid w:val="008922C8"/>
    <w:rsid w:val="00892E82"/>
    <w:rsid w:val="008933ED"/>
    <w:rsid w:val="00893411"/>
    <w:rsid w:val="0089341D"/>
    <w:rsid w:val="00893953"/>
    <w:rsid w:val="00893C4D"/>
    <w:rsid w:val="008940C3"/>
    <w:rsid w:val="008949B4"/>
    <w:rsid w:val="00894A69"/>
    <w:rsid w:val="00895E54"/>
    <w:rsid w:val="00895F63"/>
    <w:rsid w:val="008965C1"/>
    <w:rsid w:val="00896D2D"/>
    <w:rsid w:val="00897711"/>
    <w:rsid w:val="00897A12"/>
    <w:rsid w:val="008A07C0"/>
    <w:rsid w:val="008A08A9"/>
    <w:rsid w:val="008A0A2C"/>
    <w:rsid w:val="008A0BC5"/>
    <w:rsid w:val="008A1163"/>
    <w:rsid w:val="008A1746"/>
    <w:rsid w:val="008A1A7E"/>
    <w:rsid w:val="008A2F33"/>
    <w:rsid w:val="008A3086"/>
    <w:rsid w:val="008A380A"/>
    <w:rsid w:val="008A396B"/>
    <w:rsid w:val="008A3E4E"/>
    <w:rsid w:val="008A3E9F"/>
    <w:rsid w:val="008A630E"/>
    <w:rsid w:val="008A68C7"/>
    <w:rsid w:val="008B0664"/>
    <w:rsid w:val="008B0DDD"/>
    <w:rsid w:val="008B17D3"/>
    <w:rsid w:val="008B186E"/>
    <w:rsid w:val="008B19F3"/>
    <w:rsid w:val="008B4453"/>
    <w:rsid w:val="008B53A7"/>
    <w:rsid w:val="008B5B87"/>
    <w:rsid w:val="008B638E"/>
    <w:rsid w:val="008B68EB"/>
    <w:rsid w:val="008B71BB"/>
    <w:rsid w:val="008B767D"/>
    <w:rsid w:val="008C0E74"/>
    <w:rsid w:val="008C1294"/>
    <w:rsid w:val="008C17A8"/>
    <w:rsid w:val="008C19C0"/>
    <w:rsid w:val="008C1B18"/>
    <w:rsid w:val="008C2BE7"/>
    <w:rsid w:val="008C3133"/>
    <w:rsid w:val="008C37E9"/>
    <w:rsid w:val="008C4376"/>
    <w:rsid w:val="008C4EF4"/>
    <w:rsid w:val="008C4F7A"/>
    <w:rsid w:val="008C552B"/>
    <w:rsid w:val="008C5B4C"/>
    <w:rsid w:val="008C5B6C"/>
    <w:rsid w:val="008C7CE9"/>
    <w:rsid w:val="008D073A"/>
    <w:rsid w:val="008D0E2C"/>
    <w:rsid w:val="008D138C"/>
    <w:rsid w:val="008D2BD2"/>
    <w:rsid w:val="008D2EA5"/>
    <w:rsid w:val="008D3DBB"/>
    <w:rsid w:val="008D4848"/>
    <w:rsid w:val="008D4C7F"/>
    <w:rsid w:val="008D5AC9"/>
    <w:rsid w:val="008D6FC1"/>
    <w:rsid w:val="008D74C7"/>
    <w:rsid w:val="008E0202"/>
    <w:rsid w:val="008E07DF"/>
    <w:rsid w:val="008E0C66"/>
    <w:rsid w:val="008E1579"/>
    <w:rsid w:val="008E1D89"/>
    <w:rsid w:val="008E2B91"/>
    <w:rsid w:val="008E2C62"/>
    <w:rsid w:val="008E2CEB"/>
    <w:rsid w:val="008E3C5F"/>
    <w:rsid w:val="008E53BE"/>
    <w:rsid w:val="008E5F92"/>
    <w:rsid w:val="008E6EBD"/>
    <w:rsid w:val="008E710A"/>
    <w:rsid w:val="008E72B8"/>
    <w:rsid w:val="008F0133"/>
    <w:rsid w:val="008F0138"/>
    <w:rsid w:val="008F11F9"/>
    <w:rsid w:val="008F1664"/>
    <w:rsid w:val="008F2080"/>
    <w:rsid w:val="008F255C"/>
    <w:rsid w:val="008F30A6"/>
    <w:rsid w:val="008F378D"/>
    <w:rsid w:val="008F3FB9"/>
    <w:rsid w:val="008F550F"/>
    <w:rsid w:val="008F561B"/>
    <w:rsid w:val="008F5702"/>
    <w:rsid w:val="008F5DFC"/>
    <w:rsid w:val="008F5F9E"/>
    <w:rsid w:val="008F6798"/>
    <w:rsid w:val="008F6B2E"/>
    <w:rsid w:val="008F71E6"/>
    <w:rsid w:val="008F728D"/>
    <w:rsid w:val="008F7C7B"/>
    <w:rsid w:val="00900526"/>
    <w:rsid w:val="00900FD3"/>
    <w:rsid w:val="009015B8"/>
    <w:rsid w:val="0090174C"/>
    <w:rsid w:val="00901D71"/>
    <w:rsid w:val="00901D90"/>
    <w:rsid w:val="0090218E"/>
    <w:rsid w:val="00902562"/>
    <w:rsid w:val="00902CB7"/>
    <w:rsid w:val="00903121"/>
    <w:rsid w:val="00903BBF"/>
    <w:rsid w:val="00903D4E"/>
    <w:rsid w:val="00903DF4"/>
    <w:rsid w:val="0090408E"/>
    <w:rsid w:val="009041CE"/>
    <w:rsid w:val="00905533"/>
    <w:rsid w:val="009057B7"/>
    <w:rsid w:val="009064DF"/>
    <w:rsid w:val="00906D5A"/>
    <w:rsid w:val="00906DF9"/>
    <w:rsid w:val="0090762F"/>
    <w:rsid w:val="009103B6"/>
    <w:rsid w:val="009117D9"/>
    <w:rsid w:val="00914DCD"/>
    <w:rsid w:val="009150DF"/>
    <w:rsid w:val="00915C09"/>
    <w:rsid w:val="00916279"/>
    <w:rsid w:val="009162D3"/>
    <w:rsid w:val="00916856"/>
    <w:rsid w:val="009173CB"/>
    <w:rsid w:val="00917C78"/>
    <w:rsid w:val="00920624"/>
    <w:rsid w:val="00920ADD"/>
    <w:rsid w:val="00920EDE"/>
    <w:rsid w:val="00921D56"/>
    <w:rsid w:val="009226A1"/>
    <w:rsid w:val="009226D1"/>
    <w:rsid w:val="009234C9"/>
    <w:rsid w:val="00923C54"/>
    <w:rsid w:val="00923C8C"/>
    <w:rsid w:val="00925375"/>
    <w:rsid w:val="0092568F"/>
    <w:rsid w:val="00925F93"/>
    <w:rsid w:val="00926421"/>
    <w:rsid w:val="0092728B"/>
    <w:rsid w:val="00927CEE"/>
    <w:rsid w:val="00931491"/>
    <w:rsid w:val="009323B2"/>
    <w:rsid w:val="009323D9"/>
    <w:rsid w:val="00932502"/>
    <w:rsid w:val="00932A02"/>
    <w:rsid w:val="00932C0B"/>
    <w:rsid w:val="00932C10"/>
    <w:rsid w:val="009331EE"/>
    <w:rsid w:val="0093357E"/>
    <w:rsid w:val="00933C81"/>
    <w:rsid w:val="009342CB"/>
    <w:rsid w:val="00935A4E"/>
    <w:rsid w:val="00935FFE"/>
    <w:rsid w:val="00936433"/>
    <w:rsid w:val="0093698B"/>
    <w:rsid w:val="00937384"/>
    <w:rsid w:val="009405DB"/>
    <w:rsid w:val="009405FD"/>
    <w:rsid w:val="00940D73"/>
    <w:rsid w:val="00941096"/>
    <w:rsid w:val="00941758"/>
    <w:rsid w:val="009421E5"/>
    <w:rsid w:val="00942544"/>
    <w:rsid w:val="00942720"/>
    <w:rsid w:val="00942997"/>
    <w:rsid w:val="00943981"/>
    <w:rsid w:val="00943CD4"/>
    <w:rsid w:val="00943D3D"/>
    <w:rsid w:val="0094702C"/>
    <w:rsid w:val="00947654"/>
    <w:rsid w:val="00947FCF"/>
    <w:rsid w:val="009502FE"/>
    <w:rsid w:val="0095166C"/>
    <w:rsid w:val="009516CA"/>
    <w:rsid w:val="0095175E"/>
    <w:rsid w:val="00951C96"/>
    <w:rsid w:val="00951DCD"/>
    <w:rsid w:val="0095268F"/>
    <w:rsid w:val="00952CE3"/>
    <w:rsid w:val="00952CED"/>
    <w:rsid w:val="00953010"/>
    <w:rsid w:val="00954857"/>
    <w:rsid w:val="00955A79"/>
    <w:rsid w:val="00956552"/>
    <w:rsid w:val="0095695C"/>
    <w:rsid w:val="00956DF0"/>
    <w:rsid w:val="00956EB6"/>
    <w:rsid w:val="00957274"/>
    <w:rsid w:val="00957F49"/>
    <w:rsid w:val="00960289"/>
    <w:rsid w:val="00960693"/>
    <w:rsid w:val="00960F85"/>
    <w:rsid w:val="009610D7"/>
    <w:rsid w:val="0096129B"/>
    <w:rsid w:val="009613D1"/>
    <w:rsid w:val="0096145D"/>
    <w:rsid w:val="00961668"/>
    <w:rsid w:val="00961A04"/>
    <w:rsid w:val="009621CF"/>
    <w:rsid w:val="0096270E"/>
    <w:rsid w:val="00963978"/>
    <w:rsid w:val="00963BB4"/>
    <w:rsid w:val="0096511F"/>
    <w:rsid w:val="0096528C"/>
    <w:rsid w:val="00965BC5"/>
    <w:rsid w:val="00965E4E"/>
    <w:rsid w:val="00965F80"/>
    <w:rsid w:val="00966339"/>
    <w:rsid w:val="00966F47"/>
    <w:rsid w:val="00967F41"/>
    <w:rsid w:val="00970C4F"/>
    <w:rsid w:val="00970DCE"/>
    <w:rsid w:val="00971615"/>
    <w:rsid w:val="00971849"/>
    <w:rsid w:val="0097199F"/>
    <w:rsid w:val="00971EBB"/>
    <w:rsid w:val="0097291A"/>
    <w:rsid w:val="00972AE3"/>
    <w:rsid w:val="00972DB7"/>
    <w:rsid w:val="009730B2"/>
    <w:rsid w:val="0097329B"/>
    <w:rsid w:val="009733B7"/>
    <w:rsid w:val="00973805"/>
    <w:rsid w:val="00973E12"/>
    <w:rsid w:val="009747A5"/>
    <w:rsid w:val="00974FF6"/>
    <w:rsid w:val="00975194"/>
    <w:rsid w:val="009769B8"/>
    <w:rsid w:val="00977403"/>
    <w:rsid w:val="00977F88"/>
    <w:rsid w:val="00980E8E"/>
    <w:rsid w:val="00981FF2"/>
    <w:rsid w:val="00982BB9"/>
    <w:rsid w:val="0098344A"/>
    <w:rsid w:val="00984384"/>
    <w:rsid w:val="009848D5"/>
    <w:rsid w:val="00984A96"/>
    <w:rsid w:val="009852C5"/>
    <w:rsid w:val="00986152"/>
    <w:rsid w:val="00986FA0"/>
    <w:rsid w:val="00987488"/>
    <w:rsid w:val="00987767"/>
    <w:rsid w:val="00992324"/>
    <w:rsid w:val="00992A7E"/>
    <w:rsid w:val="0099375A"/>
    <w:rsid w:val="00993792"/>
    <w:rsid w:val="00993B64"/>
    <w:rsid w:val="00993D1A"/>
    <w:rsid w:val="00994071"/>
    <w:rsid w:val="009941CB"/>
    <w:rsid w:val="009948AE"/>
    <w:rsid w:val="009952E3"/>
    <w:rsid w:val="009955A6"/>
    <w:rsid w:val="0099597C"/>
    <w:rsid w:val="00995BB9"/>
    <w:rsid w:val="0099718F"/>
    <w:rsid w:val="009973EB"/>
    <w:rsid w:val="00997805"/>
    <w:rsid w:val="00997C09"/>
    <w:rsid w:val="009A107F"/>
    <w:rsid w:val="009A21F5"/>
    <w:rsid w:val="009A2B1E"/>
    <w:rsid w:val="009A2FDB"/>
    <w:rsid w:val="009A3170"/>
    <w:rsid w:val="009A4609"/>
    <w:rsid w:val="009A475B"/>
    <w:rsid w:val="009A4F02"/>
    <w:rsid w:val="009A585B"/>
    <w:rsid w:val="009A5868"/>
    <w:rsid w:val="009A5D68"/>
    <w:rsid w:val="009A6194"/>
    <w:rsid w:val="009A61C0"/>
    <w:rsid w:val="009A68E7"/>
    <w:rsid w:val="009A6CFE"/>
    <w:rsid w:val="009A6DD6"/>
    <w:rsid w:val="009A78F1"/>
    <w:rsid w:val="009A7FF2"/>
    <w:rsid w:val="009B0D0A"/>
    <w:rsid w:val="009B1347"/>
    <w:rsid w:val="009B18DF"/>
    <w:rsid w:val="009B19E5"/>
    <w:rsid w:val="009B1A64"/>
    <w:rsid w:val="009B1F56"/>
    <w:rsid w:val="009B2179"/>
    <w:rsid w:val="009B23E7"/>
    <w:rsid w:val="009B35BC"/>
    <w:rsid w:val="009B4D94"/>
    <w:rsid w:val="009B4E4E"/>
    <w:rsid w:val="009B503A"/>
    <w:rsid w:val="009B52C3"/>
    <w:rsid w:val="009B5952"/>
    <w:rsid w:val="009B6138"/>
    <w:rsid w:val="009B61DD"/>
    <w:rsid w:val="009B6EFA"/>
    <w:rsid w:val="009B7088"/>
    <w:rsid w:val="009B72ED"/>
    <w:rsid w:val="009C0510"/>
    <w:rsid w:val="009C1651"/>
    <w:rsid w:val="009C1B5A"/>
    <w:rsid w:val="009C1C7F"/>
    <w:rsid w:val="009C1FCD"/>
    <w:rsid w:val="009C22AA"/>
    <w:rsid w:val="009C46C7"/>
    <w:rsid w:val="009C4DB3"/>
    <w:rsid w:val="009C5F7C"/>
    <w:rsid w:val="009C6834"/>
    <w:rsid w:val="009D0558"/>
    <w:rsid w:val="009D08A7"/>
    <w:rsid w:val="009D10AB"/>
    <w:rsid w:val="009D13EF"/>
    <w:rsid w:val="009D2004"/>
    <w:rsid w:val="009D24AF"/>
    <w:rsid w:val="009D30E0"/>
    <w:rsid w:val="009D32AC"/>
    <w:rsid w:val="009D34A4"/>
    <w:rsid w:val="009D3712"/>
    <w:rsid w:val="009D3BA3"/>
    <w:rsid w:val="009D3BFE"/>
    <w:rsid w:val="009D427F"/>
    <w:rsid w:val="009D4319"/>
    <w:rsid w:val="009D49E0"/>
    <w:rsid w:val="009D4D19"/>
    <w:rsid w:val="009D4EA3"/>
    <w:rsid w:val="009D54FF"/>
    <w:rsid w:val="009D561E"/>
    <w:rsid w:val="009D56A1"/>
    <w:rsid w:val="009D58FA"/>
    <w:rsid w:val="009D6991"/>
    <w:rsid w:val="009D6A6A"/>
    <w:rsid w:val="009D744E"/>
    <w:rsid w:val="009D7B75"/>
    <w:rsid w:val="009D7D34"/>
    <w:rsid w:val="009E012E"/>
    <w:rsid w:val="009E1632"/>
    <w:rsid w:val="009E28D8"/>
    <w:rsid w:val="009E3A9B"/>
    <w:rsid w:val="009E4864"/>
    <w:rsid w:val="009E6A8A"/>
    <w:rsid w:val="009E6FBA"/>
    <w:rsid w:val="009E7328"/>
    <w:rsid w:val="009E76C7"/>
    <w:rsid w:val="009E79C5"/>
    <w:rsid w:val="009E7E14"/>
    <w:rsid w:val="009F03BA"/>
    <w:rsid w:val="009F06E4"/>
    <w:rsid w:val="009F1746"/>
    <w:rsid w:val="009F1F2F"/>
    <w:rsid w:val="009F232B"/>
    <w:rsid w:val="009F2B44"/>
    <w:rsid w:val="009F3B88"/>
    <w:rsid w:val="009F42D6"/>
    <w:rsid w:val="009F4675"/>
    <w:rsid w:val="009F4A3A"/>
    <w:rsid w:val="009F4C9A"/>
    <w:rsid w:val="009F4D97"/>
    <w:rsid w:val="009F5BB3"/>
    <w:rsid w:val="009F6779"/>
    <w:rsid w:val="009F67F7"/>
    <w:rsid w:val="009F693D"/>
    <w:rsid w:val="009F6B0B"/>
    <w:rsid w:val="009F732B"/>
    <w:rsid w:val="009F7571"/>
    <w:rsid w:val="009F763C"/>
    <w:rsid w:val="009F7FAE"/>
    <w:rsid w:val="00A00E88"/>
    <w:rsid w:val="00A0101B"/>
    <w:rsid w:val="00A0184C"/>
    <w:rsid w:val="00A01EAA"/>
    <w:rsid w:val="00A02118"/>
    <w:rsid w:val="00A026B4"/>
    <w:rsid w:val="00A03315"/>
    <w:rsid w:val="00A0419A"/>
    <w:rsid w:val="00A0431B"/>
    <w:rsid w:val="00A0432E"/>
    <w:rsid w:val="00A043E8"/>
    <w:rsid w:val="00A045CF"/>
    <w:rsid w:val="00A05362"/>
    <w:rsid w:val="00A06FCE"/>
    <w:rsid w:val="00A070C0"/>
    <w:rsid w:val="00A078DC"/>
    <w:rsid w:val="00A07C42"/>
    <w:rsid w:val="00A114AE"/>
    <w:rsid w:val="00A12017"/>
    <w:rsid w:val="00A122A0"/>
    <w:rsid w:val="00A1247B"/>
    <w:rsid w:val="00A12893"/>
    <w:rsid w:val="00A1293E"/>
    <w:rsid w:val="00A12CDA"/>
    <w:rsid w:val="00A1334C"/>
    <w:rsid w:val="00A138C9"/>
    <w:rsid w:val="00A1488B"/>
    <w:rsid w:val="00A158F3"/>
    <w:rsid w:val="00A16164"/>
    <w:rsid w:val="00A17679"/>
    <w:rsid w:val="00A2104D"/>
    <w:rsid w:val="00A21DF6"/>
    <w:rsid w:val="00A21E15"/>
    <w:rsid w:val="00A239E8"/>
    <w:rsid w:val="00A24CA8"/>
    <w:rsid w:val="00A257C2"/>
    <w:rsid w:val="00A25AC2"/>
    <w:rsid w:val="00A25ECA"/>
    <w:rsid w:val="00A26992"/>
    <w:rsid w:val="00A26C60"/>
    <w:rsid w:val="00A26C8D"/>
    <w:rsid w:val="00A271F3"/>
    <w:rsid w:val="00A27232"/>
    <w:rsid w:val="00A27AA9"/>
    <w:rsid w:val="00A27F49"/>
    <w:rsid w:val="00A305AE"/>
    <w:rsid w:val="00A31921"/>
    <w:rsid w:val="00A31CE5"/>
    <w:rsid w:val="00A32536"/>
    <w:rsid w:val="00A3295D"/>
    <w:rsid w:val="00A32993"/>
    <w:rsid w:val="00A332E0"/>
    <w:rsid w:val="00A33C3C"/>
    <w:rsid w:val="00A3405A"/>
    <w:rsid w:val="00A3439D"/>
    <w:rsid w:val="00A35221"/>
    <w:rsid w:val="00A353FB"/>
    <w:rsid w:val="00A358AB"/>
    <w:rsid w:val="00A35F6D"/>
    <w:rsid w:val="00A36226"/>
    <w:rsid w:val="00A363AF"/>
    <w:rsid w:val="00A36DF7"/>
    <w:rsid w:val="00A371CD"/>
    <w:rsid w:val="00A376AF"/>
    <w:rsid w:val="00A400D6"/>
    <w:rsid w:val="00A40597"/>
    <w:rsid w:val="00A40922"/>
    <w:rsid w:val="00A40F6A"/>
    <w:rsid w:val="00A40FB5"/>
    <w:rsid w:val="00A410D3"/>
    <w:rsid w:val="00A41AEC"/>
    <w:rsid w:val="00A422A9"/>
    <w:rsid w:val="00A422B7"/>
    <w:rsid w:val="00A42475"/>
    <w:rsid w:val="00A4287E"/>
    <w:rsid w:val="00A42D50"/>
    <w:rsid w:val="00A42FD9"/>
    <w:rsid w:val="00A43C3B"/>
    <w:rsid w:val="00A454F9"/>
    <w:rsid w:val="00A45E3D"/>
    <w:rsid w:val="00A46106"/>
    <w:rsid w:val="00A46A94"/>
    <w:rsid w:val="00A47FFB"/>
    <w:rsid w:val="00A50098"/>
    <w:rsid w:val="00A503ED"/>
    <w:rsid w:val="00A508C5"/>
    <w:rsid w:val="00A50E82"/>
    <w:rsid w:val="00A5171A"/>
    <w:rsid w:val="00A52A4D"/>
    <w:rsid w:val="00A5370C"/>
    <w:rsid w:val="00A53A4D"/>
    <w:rsid w:val="00A53D93"/>
    <w:rsid w:val="00A548B6"/>
    <w:rsid w:val="00A54E27"/>
    <w:rsid w:val="00A55496"/>
    <w:rsid w:val="00A56DFF"/>
    <w:rsid w:val="00A570B4"/>
    <w:rsid w:val="00A57966"/>
    <w:rsid w:val="00A57C04"/>
    <w:rsid w:val="00A603A4"/>
    <w:rsid w:val="00A6060F"/>
    <w:rsid w:val="00A60BC9"/>
    <w:rsid w:val="00A62232"/>
    <w:rsid w:val="00A62EBF"/>
    <w:rsid w:val="00A665C0"/>
    <w:rsid w:val="00A665E3"/>
    <w:rsid w:val="00A66B2C"/>
    <w:rsid w:val="00A66BAF"/>
    <w:rsid w:val="00A670C8"/>
    <w:rsid w:val="00A67273"/>
    <w:rsid w:val="00A67C94"/>
    <w:rsid w:val="00A67EEC"/>
    <w:rsid w:val="00A704AB"/>
    <w:rsid w:val="00A706A0"/>
    <w:rsid w:val="00A70929"/>
    <w:rsid w:val="00A70CC6"/>
    <w:rsid w:val="00A70F19"/>
    <w:rsid w:val="00A70F38"/>
    <w:rsid w:val="00A7140D"/>
    <w:rsid w:val="00A71583"/>
    <w:rsid w:val="00A72C1B"/>
    <w:rsid w:val="00A73576"/>
    <w:rsid w:val="00A73736"/>
    <w:rsid w:val="00A737BA"/>
    <w:rsid w:val="00A742D5"/>
    <w:rsid w:val="00A743F9"/>
    <w:rsid w:val="00A76B6B"/>
    <w:rsid w:val="00A76DAF"/>
    <w:rsid w:val="00A7762B"/>
    <w:rsid w:val="00A81019"/>
    <w:rsid w:val="00A81906"/>
    <w:rsid w:val="00A826EA"/>
    <w:rsid w:val="00A82EE9"/>
    <w:rsid w:val="00A830E3"/>
    <w:rsid w:val="00A8312D"/>
    <w:rsid w:val="00A83CBD"/>
    <w:rsid w:val="00A84230"/>
    <w:rsid w:val="00A842A9"/>
    <w:rsid w:val="00A909E1"/>
    <w:rsid w:val="00A90E73"/>
    <w:rsid w:val="00A9164D"/>
    <w:rsid w:val="00A92A81"/>
    <w:rsid w:val="00A92BAE"/>
    <w:rsid w:val="00A94AD5"/>
    <w:rsid w:val="00A95308"/>
    <w:rsid w:val="00A9542E"/>
    <w:rsid w:val="00A95765"/>
    <w:rsid w:val="00A96555"/>
    <w:rsid w:val="00A9693F"/>
    <w:rsid w:val="00A96B8F"/>
    <w:rsid w:val="00A97025"/>
    <w:rsid w:val="00A9789A"/>
    <w:rsid w:val="00AA02F2"/>
    <w:rsid w:val="00AA0769"/>
    <w:rsid w:val="00AA0BB6"/>
    <w:rsid w:val="00AA0EE6"/>
    <w:rsid w:val="00AA163F"/>
    <w:rsid w:val="00AA1C55"/>
    <w:rsid w:val="00AA4339"/>
    <w:rsid w:val="00AA44F4"/>
    <w:rsid w:val="00AA5988"/>
    <w:rsid w:val="00AA6B35"/>
    <w:rsid w:val="00AA6D48"/>
    <w:rsid w:val="00AA7BD5"/>
    <w:rsid w:val="00AB0337"/>
    <w:rsid w:val="00AB0C03"/>
    <w:rsid w:val="00AB15BB"/>
    <w:rsid w:val="00AB1A8F"/>
    <w:rsid w:val="00AB287A"/>
    <w:rsid w:val="00AB2990"/>
    <w:rsid w:val="00AB2B7A"/>
    <w:rsid w:val="00AB2EE3"/>
    <w:rsid w:val="00AB34A1"/>
    <w:rsid w:val="00AB35A1"/>
    <w:rsid w:val="00AB3A48"/>
    <w:rsid w:val="00AB3CB0"/>
    <w:rsid w:val="00AB526B"/>
    <w:rsid w:val="00AB5760"/>
    <w:rsid w:val="00AB5F33"/>
    <w:rsid w:val="00AB62AA"/>
    <w:rsid w:val="00AB6B59"/>
    <w:rsid w:val="00AB74DB"/>
    <w:rsid w:val="00AB7B40"/>
    <w:rsid w:val="00AC0190"/>
    <w:rsid w:val="00AC15C2"/>
    <w:rsid w:val="00AC2C1D"/>
    <w:rsid w:val="00AC3BFE"/>
    <w:rsid w:val="00AC3D10"/>
    <w:rsid w:val="00AC4220"/>
    <w:rsid w:val="00AC48F4"/>
    <w:rsid w:val="00AC5DFD"/>
    <w:rsid w:val="00AC5E37"/>
    <w:rsid w:val="00AC77D7"/>
    <w:rsid w:val="00AC7CD1"/>
    <w:rsid w:val="00AD0442"/>
    <w:rsid w:val="00AD15D0"/>
    <w:rsid w:val="00AD42FE"/>
    <w:rsid w:val="00AD43EF"/>
    <w:rsid w:val="00AD6AB7"/>
    <w:rsid w:val="00AD756D"/>
    <w:rsid w:val="00AD7601"/>
    <w:rsid w:val="00AD7B1F"/>
    <w:rsid w:val="00AE04A8"/>
    <w:rsid w:val="00AE053A"/>
    <w:rsid w:val="00AE0F24"/>
    <w:rsid w:val="00AE10E5"/>
    <w:rsid w:val="00AE1E01"/>
    <w:rsid w:val="00AE20AA"/>
    <w:rsid w:val="00AE26A2"/>
    <w:rsid w:val="00AE3035"/>
    <w:rsid w:val="00AE30B0"/>
    <w:rsid w:val="00AE3264"/>
    <w:rsid w:val="00AE32D2"/>
    <w:rsid w:val="00AE33F3"/>
    <w:rsid w:val="00AE3528"/>
    <w:rsid w:val="00AE3B81"/>
    <w:rsid w:val="00AE3D82"/>
    <w:rsid w:val="00AE4702"/>
    <w:rsid w:val="00AE47F0"/>
    <w:rsid w:val="00AE4CB5"/>
    <w:rsid w:val="00AE5040"/>
    <w:rsid w:val="00AE51BA"/>
    <w:rsid w:val="00AE52DC"/>
    <w:rsid w:val="00AE577E"/>
    <w:rsid w:val="00AE58A3"/>
    <w:rsid w:val="00AE5AA7"/>
    <w:rsid w:val="00AE6443"/>
    <w:rsid w:val="00AE6ACA"/>
    <w:rsid w:val="00AE6AED"/>
    <w:rsid w:val="00AE7CAD"/>
    <w:rsid w:val="00AF02BE"/>
    <w:rsid w:val="00AF06BE"/>
    <w:rsid w:val="00AF0810"/>
    <w:rsid w:val="00AF09B4"/>
    <w:rsid w:val="00AF0BF6"/>
    <w:rsid w:val="00AF2286"/>
    <w:rsid w:val="00AF2491"/>
    <w:rsid w:val="00AF39DC"/>
    <w:rsid w:val="00AF3FD7"/>
    <w:rsid w:val="00AF6121"/>
    <w:rsid w:val="00AF7035"/>
    <w:rsid w:val="00AF7870"/>
    <w:rsid w:val="00AF79A5"/>
    <w:rsid w:val="00AF7F59"/>
    <w:rsid w:val="00B0011B"/>
    <w:rsid w:val="00B008BF"/>
    <w:rsid w:val="00B011FE"/>
    <w:rsid w:val="00B01A16"/>
    <w:rsid w:val="00B01FAA"/>
    <w:rsid w:val="00B02240"/>
    <w:rsid w:val="00B035AF"/>
    <w:rsid w:val="00B06995"/>
    <w:rsid w:val="00B07A56"/>
    <w:rsid w:val="00B104BC"/>
    <w:rsid w:val="00B10974"/>
    <w:rsid w:val="00B1205B"/>
    <w:rsid w:val="00B12969"/>
    <w:rsid w:val="00B12A67"/>
    <w:rsid w:val="00B12E62"/>
    <w:rsid w:val="00B137C5"/>
    <w:rsid w:val="00B139E5"/>
    <w:rsid w:val="00B14217"/>
    <w:rsid w:val="00B14426"/>
    <w:rsid w:val="00B14639"/>
    <w:rsid w:val="00B1626C"/>
    <w:rsid w:val="00B16A4C"/>
    <w:rsid w:val="00B16DA4"/>
    <w:rsid w:val="00B20AFA"/>
    <w:rsid w:val="00B210E1"/>
    <w:rsid w:val="00B21A20"/>
    <w:rsid w:val="00B21AC3"/>
    <w:rsid w:val="00B21E39"/>
    <w:rsid w:val="00B2276E"/>
    <w:rsid w:val="00B23C06"/>
    <w:rsid w:val="00B23EA3"/>
    <w:rsid w:val="00B2422E"/>
    <w:rsid w:val="00B24C92"/>
    <w:rsid w:val="00B24F83"/>
    <w:rsid w:val="00B25484"/>
    <w:rsid w:val="00B25643"/>
    <w:rsid w:val="00B26475"/>
    <w:rsid w:val="00B26711"/>
    <w:rsid w:val="00B26BBB"/>
    <w:rsid w:val="00B30CDD"/>
    <w:rsid w:val="00B30EE4"/>
    <w:rsid w:val="00B30F48"/>
    <w:rsid w:val="00B312FA"/>
    <w:rsid w:val="00B31DCD"/>
    <w:rsid w:val="00B3228B"/>
    <w:rsid w:val="00B32504"/>
    <w:rsid w:val="00B32769"/>
    <w:rsid w:val="00B328C5"/>
    <w:rsid w:val="00B32EB3"/>
    <w:rsid w:val="00B3348C"/>
    <w:rsid w:val="00B3419F"/>
    <w:rsid w:val="00B343ED"/>
    <w:rsid w:val="00B354A5"/>
    <w:rsid w:val="00B37067"/>
    <w:rsid w:val="00B37948"/>
    <w:rsid w:val="00B37954"/>
    <w:rsid w:val="00B40B09"/>
    <w:rsid w:val="00B40E24"/>
    <w:rsid w:val="00B41B1D"/>
    <w:rsid w:val="00B4262F"/>
    <w:rsid w:val="00B4269E"/>
    <w:rsid w:val="00B42C7D"/>
    <w:rsid w:val="00B42D9C"/>
    <w:rsid w:val="00B42E94"/>
    <w:rsid w:val="00B43009"/>
    <w:rsid w:val="00B4334B"/>
    <w:rsid w:val="00B433EC"/>
    <w:rsid w:val="00B4458B"/>
    <w:rsid w:val="00B44F11"/>
    <w:rsid w:val="00B450FC"/>
    <w:rsid w:val="00B4611C"/>
    <w:rsid w:val="00B465CC"/>
    <w:rsid w:val="00B4661B"/>
    <w:rsid w:val="00B46907"/>
    <w:rsid w:val="00B47E40"/>
    <w:rsid w:val="00B507E8"/>
    <w:rsid w:val="00B50E0B"/>
    <w:rsid w:val="00B510C8"/>
    <w:rsid w:val="00B52715"/>
    <w:rsid w:val="00B53144"/>
    <w:rsid w:val="00B53543"/>
    <w:rsid w:val="00B5365F"/>
    <w:rsid w:val="00B53733"/>
    <w:rsid w:val="00B54267"/>
    <w:rsid w:val="00B54335"/>
    <w:rsid w:val="00B54AB4"/>
    <w:rsid w:val="00B56582"/>
    <w:rsid w:val="00B56B04"/>
    <w:rsid w:val="00B605E8"/>
    <w:rsid w:val="00B60967"/>
    <w:rsid w:val="00B612D5"/>
    <w:rsid w:val="00B61537"/>
    <w:rsid w:val="00B61F89"/>
    <w:rsid w:val="00B6201C"/>
    <w:rsid w:val="00B631E1"/>
    <w:rsid w:val="00B63855"/>
    <w:rsid w:val="00B63E42"/>
    <w:rsid w:val="00B63F20"/>
    <w:rsid w:val="00B64A1E"/>
    <w:rsid w:val="00B64D94"/>
    <w:rsid w:val="00B661CF"/>
    <w:rsid w:val="00B66BD7"/>
    <w:rsid w:val="00B67951"/>
    <w:rsid w:val="00B6798E"/>
    <w:rsid w:val="00B70792"/>
    <w:rsid w:val="00B716B9"/>
    <w:rsid w:val="00B71C7E"/>
    <w:rsid w:val="00B723F2"/>
    <w:rsid w:val="00B7273E"/>
    <w:rsid w:val="00B72744"/>
    <w:rsid w:val="00B72B5D"/>
    <w:rsid w:val="00B731ED"/>
    <w:rsid w:val="00B73481"/>
    <w:rsid w:val="00B73BE6"/>
    <w:rsid w:val="00B73BF5"/>
    <w:rsid w:val="00B74796"/>
    <w:rsid w:val="00B75200"/>
    <w:rsid w:val="00B75909"/>
    <w:rsid w:val="00B7591B"/>
    <w:rsid w:val="00B76ABC"/>
    <w:rsid w:val="00B7724D"/>
    <w:rsid w:val="00B77B29"/>
    <w:rsid w:val="00B77C0A"/>
    <w:rsid w:val="00B8070F"/>
    <w:rsid w:val="00B80A01"/>
    <w:rsid w:val="00B81022"/>
    <w:rsid w:val="00B8223B"/>
    <w:rsid w:val="00B8257D"/>
    <w:rsid w:val="00B82AA4"/>
    <w:rsid w:val="00B83759"/>
    <w:rsid w:val="00B83871"/>
    <w:rsid w:val="00B84671"/>
    <w:rsid w:val="00B85312"/>
    <w:rsid w:val="00B85509"/>
    <w:rsid w:val="00B856F5"/>
    <w:rsid w:val="00B85D38"/>
    <w:rsid w:val="00B85E35"/>
    <w:rsid w:val="00B86C63"/>
    <w:rsid w:val="00B87252"/>
    <w:rsid w:val="00B87D8C"/>
    <w:rsid w:val="00B90CEF"/>
    <w:rsid w:val="00B90EED"/>
    <w:rsid w:val="00B90FD3"/>
    <w:rsid w:val="00B91A26"/>
    <w:rsid w:val="00B927CC"/>
    <w:rsid w:val="00B93AC0"/>
    <w:rsid w:val="00B950DF"/>
    <w:rsid w:val="00B95A7C"/>
    <w:rsid w:val="00B95B40"/>
    <w:rsid w:val="00B95D6C"/>
    <w:rsid w:val="00B96905"/>
    <w:rsid w:val="00B97327"/>
    <w:rsid w:val="00B97F02"/>
    <w:rsid w:val="00BA12C0"/>
    <w:rsid w:val="00BA1B3C"/>
    <w:rsid w:val="00BA22E5"/>
    <w:rsid w:val="00BA28D8"/>
    <w:rsid w:val="00BA292D"/>
    <w:rsid w:val="00BA2B4A"/>
    <w:rsid w:val="00BA3DD6"/>
    <w:rsid w:val="00BA420D"/>
    <w:rsid w:val="00BA489A"/>
    <w:rsid w:val="00BA4F27"/>
    <w:rsid w:val="00BA546E"/>
    <w:rsid w:val="00BA55F9"/>
    <w:rsid w:val="00BA5E15"/>
    <w:rsid w:val="00BA6205"/>
    <w:rsid w:val="00BA6C59"/>
    <w:rsid w:val="00BA7112"/>
    <w:rsid w:val="00BA73F5"/>
    <w:rsid w:val="00BA7A04"/>
    <w:rsid w:val="00BB012B"/>
    <w:rsid w:val="00BB0595"/>
    <w:rsid w:val="00BB06E1"/>
    <w:rsid w:val="00BB1C0D"/>
    <w:rsid w:val="00BB1F3E"/>
    <w:rsid w:val="00BB238A"/>
    <w:rsid w:val="00BB262A"/>
    <w:rsid w:val="00BB3774"/>
    <w:rsid w:val="00BB4E2C"/>
    <w:rsid w:val="00BB5750"/>
    <w:rsid w:val="00BB5900"/>
    <w:rsid w:val="00BB6324"/>
    <w:rsid w:val="00BB692A"/>
    <w:rsid w:val="00BB72A4"/>
    <w:rsid w:val="00BB7AEA"/>
    <w:rsid w:val="00BC07E0"/>
    <w:rsid w:val="00BC3320"/>
    <w:rsid w:val="00BC3692"/>
    <w:rsid w:val="00BC3A5B"/>
    <w:rsid w:val="00BC45DA"/>
    <w:rsid w:val="00BC4823"/>
    <w:rsid w:val="00BC4982"/>
    <w:rsid w:val="00BC4C46"/>
    <w:rsid w:val="00BC5878"/>
    <w:rsid w:val="00BC66D2"/>
    <w:rsid w:val="00BC7433"/>
    <w:rsid w:val="00BC748E"/>
    <w:rsid w:val="00BC79AD"/>
    <w:rsid w:val="00BC7D67"/>
    <w:rsid w:val="00BD02BB"/>
    <w:rsid w:val="00BD069D"/>
    <w:rsid w:val="00BD0DFF"/>
    <w:rsid w:val="00BD1201"/>
    <w:rsid w:val="00BD121C"/>
    <w:rsid w:val="00BD12AF"/>
    <w:rsid w:val="00BD13CA"/>
    <w:rsid w:val="00BD18A5"/>
    <w:rsid w:val="00BD1C02"/>
    <w:rsid w:val="00BD1FF7"/>
    <w:rsid w:val="00BD200A"/>
    <w:rsid w:val="00BD2417"/>
    <w:rsid w:val="00BD29DC"/>
    <w:rsid w:val="00BD4510"/>
    <w:rsid w:val="00BD4E99"/>
    <w:rsid w:val="00BD544A"/>
    <w:rsid w:val="00BD6556"/>
    <w:rsid w:val="00BD66C4"/>
    <w:rsid w:val="00BE024C"/>
    <w:rsid w:val="00BE0733"/>
    <w:rsid w:val="00BE079D"/>
    <w:rsid w:val="00BE0CEF"/>
    <w:rsid w:val="00BE0DF7"/>
    <w:rsid w:val="00BE0F1C"/>
    <w:rsid w:val="00BE1F06"/>
    <w:rsid w:val="00BE2189"/>
    <w:rsid w:val="00BE2418"/>
    <w:rsid w:val="00BE2575"/>
    <w:rsid w:val="00BE3FE5"/>
    <w:rsid w:val="00BE44FD"/>
    <w:rsid w:val="00BE4630"/>
    <w:rsid w:val="00BE472E"/>
    <w:rsid w:val="00BE49A0"/>
    <w:rsid w:val="00BE4BD7"/>
    <w:rsid w:val="00BE4F71"/>
    <w:rsid w:val="00BE5ADA"/>
    <w:rsid w:val="00BE5FA6"/>
    <w:rsid w:val="00BE6284"/>
    <w:rsid w:val="00BE6588"/>
    <w:rsid w:val="00BE6D6F"/>
    <w:rsid w:val="00BE72D5"/>
    <w:rsid w:val="00BE752F"/>
    <w:rsid w:val="00BE7997"/>
    <w:rsid w:val="00BE7D79"/>
    <w:rsid w:val="00BF0E29"/>
    <w:rsid w:val="00BF17E8"/>
    <w:rsid w:val="00BF1FED"/>
    <w:rsid w:val="00BF43FA"/>
    <w:rsid w:val="00BF4E83"/>
    <w:rsid w:val="00BF6269"/>
    <w:rsid w:val="00BF6D08"/>
    <w:rsid w:val="00BF706B"/>
    <w:rsid w:val="00BF712B"/>
    <w:rsid w:val="00BF725C"/>
    <w:rsid w:val="00BF746E"/>
    <w:rsid w:val="00BF78FA"/>
    <w:rsid w:val="00C00243"/>
    <w:rsid w:val="00C00503"/>
    <w:rsid w:val="00C0075C"/>
    <w:rsid w:val="00C0094E"/>
    <w:rsid w:val="00C01012"/>
    <w:rsid w:val="00C01B31"/>
    <w:rsid w:val="00C01ED7"/>
    <w:rsid w:val="00C023DB"/>
    <w:rsid w:val="00C027AF"/>
    <w:rsid w:val="00C02AF2"/>
    <w:rsid w:val="00C036F3"/>
    <w:rsid w:val="00C03CB6"/>
    <w:rsid w:val="00C04093"/>
    <w:rsid w:val="00C04F48"/>
    <w:rsid w:val="00C05B68"/>
    <w:rsid w:val="00C05BD0"/>
    <w:rsid w:val="00C05CB8"/>
    <w:rsid w:val="00C061A9"/>
    <w:rsid w:val="00C06683"/>
    <w:rsid w:val="00C069D1"/>
    <w:rsid w:val="00C06AAE"/>
    <w:rsid w:val="00C07A22"/>
    <w:rsid w:val="00C07E4B"/>
    <w:rsid w:val="00C10A44"/>
    <w:rsid w:val="00C10E9B"/>
    <w:rsid w:val="00C11697"/>
    <w:rsid w:val="00C13A30"/>
    <w:rsid w:val="00C13A6C"/>
    <w:rsid w:val="00C13F4D"/>
    <w:rsid w:val="00C1404A"/>
    <w:rsid w:val="00C14476"/>
    <w:rsid w:val="00C14614"/>
    <w:rsid w:val="00C14E1F"/>
    <w:rsid w:val="00C15212"/>
    <w:rsid w:val="00C15D55"/>
    <w:rsid w:val="00C16A0D"/>
    <w:rsid w:val="00C16C24"/>
    <w:rsid w:val="00C20624"/>
    <w:rsid w:val="00C20861"/>
    <w:rsid w:val="00C20E5C"/>
    <w:rsid w:val="00C21148"/>
    <w:rsid w:val="00C21F65"/>
    <w:rsid w:val="00C225C1"/>
    <w:rsid w:val="00C22B3C"/>
    <w:rsid w:val="00C22B64"/>
    <w:rsid w:val="00C22F00"/>
    <w:rsid w:val="00C23721"/>
    <w:rsid w:val="00C2436C"/>
    <w:rsid w:val="00C243F3"/>
    <w:rsid w:val="00C251EB"/>
    <w:rsid w:val="00C2529A"/>
    <w:rsid w:val="00C255E9"/>
    <w:rsid w:val="00C2591F"/>
    <w:rsid w:val="00C25A5D"/>
    <w:rsid w:val="00C26D9E"/>
    <w:rsid w:val="00C272BD"/>
    <w:rsid w:val="00C277F1"/>
    <w:rsid w:val="00C27A63"/>
    <w:rsid w:val="00C27C9A"/>
    <w:rsid w:val="00C31588"/>
    <w:rsid w:val="00C3158D"/>
    <w:rsid w:val="00C32497"/>
    <w:rsid w:val="00C326F1"/>
    <w:rsid w:val="00C32A97"/>
    <w:rsid w:val="00C338A9"/>
    <w:rsid w:val="00C339CA"/>
    <w:rsid w:val="00C33F1E"/>
    <w:rsid w:val="00C33FAA"/>
    <w:rsid w:val="00C35DF0"/>
    <w:rsid w:val="00C360E4"/>
    <w:rsid w:val="00C3677D"/>
    <w:rsid w:val="00C368D6"/>
    <w:rsid w:val="00C405E0"/>
    <w:rsid w:val="00C40AA5"/>
    <w:rsid w:val="00C40F7A"/>
    <w:rsid w:val="00C411F9"/>
    <w:rsid w:val="00C41302"/>
    <w:rsid w:val="00C41459"/>
    <w:rsid w:val="00C44D1B"/>
    <w:rsid w:val="00C45295"/>
    <w:rsid w:val="00C45296"/>
    <w:rsid w:val="00C45812"/>
    <w:rsid w:val="00C45DA4"/>
    <w:rsid w:val="00C45EC3"/>
    <w:rsid w:val="00C46380"/>
    <w:rsid w:val="00C4669A"/>
    <w:rsid w:val="00C46A2F"/>
    <w:rsid w:val="00C46F8B"/>
    <w:rsid w:val="00C470C5"/>
    <w:rsid w:val="00C4718D"/>
    <w:rsid w:val="00C473A9"/>
    <w:rsid w:val="00C47582"/>
    <w:rsid w:val="00C4784D"/>
    <w:rsid w:val="00C47B6A"/>
    <w:rsid w:val="00C5031E"/>
    <w:rsid w:val="00C506D1"/>
    <w:rsid w:val="00C51FEE"/>
    <w:rsid w:val="00C524ED"/>
    <w:rsid w:val="00C528D4"/>
    <w:rsid w:val="00C52D4B"/>
    <w:rsid w:val="00C52D83"/>
    <w:rsid w:val="00C53642"/>
    <w:rsid w:val="00C54410"/>
    <w:rsid w:val="00C54F6A"/>
    <w:rsid w:val="00C55A35"/>
    <w:rsid w:val="00C5630D"/>
    <w:rsid w:val="00C5645C"/>
    <w:rsid w:val="00C56891"/>
    <w:rsid w:val="00C56DD8"/>
    <w:rsid w:val="00C57BC5"/>
    <w:rsid w:val="00C57D84"/>
    <w:rsid w:val="00C57DB5"/>
    <w:rsid w:val="00C609AD"/>
    <w:rsid w:val="00C60B4E"/>
    <w:rsid w:val="00C612E0"/>
    <w:rsid w:val="00C61534"/>
    <w:rsid w:val="00C61BB5"/>
    <w:rsid w:val="00C61EB6"/>
    <w:rsid w:val="00C62274"/>
    <w:rsid w:val="00C6250B"/>
    <w:rsid w:val="00C626EB"/>
    <w:rsid w:val="00C62785"/>
    <w:rsid w:val="00C62D88"/>
    <w:rsid w:val="00C63646"/>
    <w:rsid w:val="00C63C06"/>
    <w:rsid w:val="00C64232"/>
    <w:rsid w:val="00C64635"/>
    <w:rsid w:val="00C64BED"/>
    <w:rsid w:val="00C65084"/>
    <w:rsid w:val="00C6599D"/>
    <w:rsid w:val="00C65A3A"/>
    <w:rsid w:val="00C65F7F"/>
    <w:rsid w:val="00C66D53"/>
    <w:rsid w:val="00C66E00"/>
    <w:rsid w:val="00C67129"/>
    <w:rsid w:val="00C67262"/>
    <w:rsid w:val="00C67525"/>
    <w:rsid w:val="00C67BA1"/>
    <w:rsid w:val="00C70A7D"/>
    <w:rsid w:val="00C712BA"/>
    <w:rsid w:val="00C71483"/>
    <w:rsid w:val="00C71549"/>
    <w:rsid w:val="00C717D4"/>
    <w:rsid w:val="00C718B6"/>
    <w:rsid w:val="00C722B6"/>
    <w:rsid w:val="00C72666"/>
    <w:rsid w:val="00C72FB8"/>
    <w:rsid w:val="00C73399"/>
    <w:rsid w:val="00C73999"/>
    <w:rsid w:val="00C73C40"/>
    <w:rsid w:val="00C74F30"/>
    <w:rsid w:val="00C75048"/>
    <w:rsid w:val="00C759EE"/>
    <w:rsid w:val="00C75A2B"/>
    <w:rsid w:val="00C76126"/>
    <w:rsid w:val="00C76C3A"/>
    <w:rsid w:val="00C76EC6"/>
    <w:rsid w:val="00C7781C"/>
    <w:rsid w:val="00C7796F"/>
    <w:rsid w:val="00C77B45"/>
    <w:rsid w:val="00C77E11"/>
    <w:rsid w:val="00C77FE8"/>
    <w:rsid w:val="00C80FE7"/>
    <w:rsid w:val="00C81212"/>
    <w:rsid w:val="00C81BC4"/>
    <w:rsid w:val="00C82CD0"/>
    <w:rsid w:val="00C83357"/>
    <w:rsid w:val="00C849CD"/>
    <w:rsid w:val="00C8570A"/>
    <w:rsid w:val="00C85AD9"/>
    <w:rsid w:val="00C85CE2"/>
    <w:rsid w:val="00C85D6A"/>
    <w:rsid w:val="00C861B6"/>
    <w:rsid w:val="00C86A16"/>
    <w:rsid w:val="00C86C31"/>
    <w:rsid w:val="00C86F5C"/>
    <w:rsid w:val="00C87372"/>
    <w:rsid w:val="00C87A53"/>
    <w:rsid w:val="00C87BEF"/>
    <w:rsid w:val="00C87E27"/>
    <w:rsid w:val="00C90AFF"/>
    <w:rsid w:val="00C90CE9"/>
    <w:rsid w:val="00C90E60"/>
    <w:rsid w:val="00C9249C"/>
    <w:rsid w:val="00C92900"/>
    <w:rsid w:val="00C93038"/>
    <w:rsid w:val="00C93128"/>
    <w:rsid w:val="00C938E4"/>
    <w:rsid w:val="00C93AB8"/>
    <w:rsid w:val="00C93CC0"/>
    <w:rsid w:val="00C94054"/>
    <w:rsid w:val="00C9422D"/>
    <w:rsid w:val="00C9464B"/>
    <w:rsid w:val="00C94681"/>
    <w:rsid w:val="00C94AE5"/>
    <w:rsid w:val="00C9526E"/>
    <w:rsid w:val="00C95782"/>
    <w:rsid w:val="00C95DB3"/>
    <w:rsid w:val="00C9698E"/>
    <w:rsid w:val="00C969E5"/>
    <w:rsid w:val="00C96C35"/>
    <w:rsid w:val="00C96F73"/>
    <w:rsid w:val="00C9742D"/>
    <w:rsid w:val="00C977B4"/>
    <w:rsid w:val="00CA0078"/>
    <w:rsid w:val="00CA01D5"/>
    <w:rsid w:val="00CA087F"/>
    <w:rsid w:val="00CA0887"/>
    <w:rsid w:val="00CA08D9"/>
    <w:rsid w:val="00CA0A77"/>
    <w:rsid w:val="00CA14D1"/>
    <w:rsid w:val="00CA1BDC"/>
    <w:rsid w:val="00CA2B03"/>
    <w:rsid w:val="00CA2B50"/>
    <w:rsid w:val="00CA2F74"/>
    <w:rsid w:val="00CA3394"/>
    <w:rsid w:val="00CA33C3"/>
    <w:rsid w:val="00CA3502"/>
    <w:rsid w:val="00CA36E0"/>
    <w:rsid w:val="00CA4412"/>
    <w:rsid w:val="00CA4A59"/>
    <w:rsid w:val="00CA4AC6"/>
    <w:rsid w:val="00CA5BA5"/>
    <w:rsid w:val="00CA5E68"/>
    <w:rsid w:val="00CA620E"/>
    <w:rsid w:val="00CA6235"/>
    <w:rsid w:val="00CA68DF"/>
    <w:rsid w:val="00CA6951"/>
    <w:rsid w:val="00CA76BA"/>
    <w:rsid w:val="00CA7A00"/>
    <w:rsid w:val="00CA7E40"/>
    <w:rsid w:val="00CB0014"/>
    <w:rsid w:val="00CB015F"/>
    <w:rsid w:val="00CB0A16"/>
    <w:rsid w:val="00CB0C22"/>
    <w:rsid w:val="00CB1C91"/>
    <w:rsid w:val="00CB28CE"/>
    <w:rsid w:val="00CB2E3D"/>
    <w:rsid w:val="00CB3A55"/>
    <w:rsid w:val="00CB49E1"/>
    <w:rsid w:val="00CB6790"/>
    <w:rsid w:val="00CB6A34"/>
    <w:rsid w:val="00CB74EA"/>
    <w:rsid w:val="00CB773C"/>
    <w:rsid w:val="00CB7810"/>
    <w:rsid w:val="00CC1161"/>
    <w:rsid w:val="00CC1214"/>
    <w:rsid w:val="00CC1966"/>
    <w:rsid w:val="00CC2B65"/>
    <w:rsid w:val="00CC2F57"/>
    <w:rsid w:val="00CC3E5C"/>
    <w:rsid w:val="00CC4AAC"/>
    <w:rsid w:val="00CC4AC4"/>
    <w:rsid w:val="00CC51D4"/>
    <w:rsid w:val="00CC61FC"/>
    <w:rsid w:val="00CC6F9A"/>
    <w:rsid w:val="00CD06A8"/>
    <w:rsid w:val="00CD06DD"/>
    <w:rsid w:val="00CD1157"/>
    <w:rsid w:val="00CD1715"/>
    <w:rsid w:val="00CD17C3"/>
    <w:rsid w:val="00CD2DAE"/>
    <w:rsid w:val="00CD418E"/>
    <w:rsid w:val="00CD443D"/>
    <w:rsid w:val="00CD4DFC"/>
    <w:rsid w:val="00CD50D6"/>
    <w:rsid w:val="00CD626E"/>
    <w:rsid w:val="00CD6767"/>
    <w:rsid w:val="00CD6BD1"/>
    <w:rsid w:val="00CD7582"/>
    <w:rsid w:val="00CE3B9E"/>
    <w:rsid w:val="00CE47ED"/>
    <w:rsid w:val="00CE6ED3"/>
    <w:rsid w:val="00CF02A3"/>
    <w:rsid w:val="00CF1799"/>
    <w:rsid w:val="00CF1979"/>
    <w:rsid w:val="00CF1F50"/>
    <w:rsid w:val="00CF2567"/>
    <w:rsid w:val="00CF2ED8"/>
    <w:rsid w:val="00CF323A"/>
    <w:rsid w:val="00CF33C1"/>
    <w:rsid w:val="00CF358A"/>
    <w:rsid w:val="00CF3D7A"/>
    <w:rsid w:val="00CF4105"/>
    <w:rsid w:val="00CF4535"/>
    <w:rsid w:val="00CF4DB4"/>
    <w:rsid w:val="00CF5287"/>
    <w:rsid w:val="00CF535A"/>
    <w:rsid w:val="00CF5818"/>
    <w:rsid w:val="00CF5949"/>
    <w:rsid w:val="00CF5BB2"/>
    <w:rsid w:val="00CF6014"/>
    <w:rsid w:val="00CF71BD"/>
    <w:rsid w:val="00CF7CC4"/>
    <w:rsid w:val="00CF7E33"/>
    <w:rsid w:val="00CF7F56"/>
    <w:rsid w:val="00D002A7"/>
    <w:rsid w:val="00D01530"/>
    <w:rsid w:val="00D01969"/>
    <w:rsid w:val="00D01D4E"/>
    <w:rsid w:val="00D025E1"/>
    <w:rsid w:val="00D02957"/>
    <w:rsid w:val="00D02CDB"/>
    <w:rsid w:val="00D02E94"/>
    <w:rsid w:val="00D0338A"/>
    <w:rsid w:val="00D03C13"/>
    <w:rsid w:val="00D04218"/>
    <w:rsid w:val="00D05031"/>
    <w:rsid w:val="00D052F6"/>
    <w:rsid w:val="00D0653B"/>
    <w:rsid w:val="00D07876"/>
    <w:rsid w:val="00D103A1"/>
    <w:rsid w:val="00D104EB"/>
    <w:rsid w:val="00D11158"/>
    <w:rsid w:val="00D11456"/>
    <w:rsid w:val="00D11495"/>
    <w:rsid w:val="00D11AB5"/>
    <w:rsid w:val="00D11D8C"/>
    <w:rsid w:val="00D1245C"/>
    <w:rsid w:val="00D12DF2"/>
    <w:rsid w:val="00D13220"/>
    <w:rsid w:val="00D13AD7"/>
    <w:rsid w:val="00D13D87"/>
    <w:rsid w:val="00D14856"/>
    <w:rsid w:val="00D15045"/>
    <w:rsid w:val="00D150F1"/>
    <w:rsid w:val="00D15E6F"/>
    <w:rsid w:val="00D16134"/>
    <w:rsid w:val="00D16A85"/>
    <w:rsid w:val="00D17294"/>
    <w:rsid w:val="00D176CC"/>
    <w:rsid w:val="00D17C13"/>
    <w:rsid w:val="00D17F1D"/>
    <w:rsid w:val="00D207EA"/>
    <w:rsid w:val="00D20B4D"/>
    <w:rsid w:val="00D2132C"/>
    <w:rsid w:val="00D21828"/>
    <w:rsid w:val="00D21E2C"/>
    <w:rsid w:val="00D22D65"/>
    <w:rsid w:val="00D232DC"/>
    <w:rsid w:val="00D23C0A"/>
    <w:rsid w:val="00D24939"/>
    <w:rsid w:val="00D25268"/>
    <w:rsid w:val="00D255C2"/>
    <w:rsid w:val="00D25995"/>
    <w:rsid w:val="00D25AA5"/>
    <w:rsid w:val="00D26C8C"/>
    <w:rsid w:val="00D27161"/>
    <w:rsid w:val="00D2735D"/>
    <w:rsid w:val="00D27543"/>
    <w:rsid w:val="00D275F6"/>
    <w:rsid w:val="00D278E8"/>
    <w:rsid w:val="00D30949"/>
    <w:rsid w:val="00D32283"/>
    <w:rsid w:val="00D3241D"/>
    <w:rsid w:val="00D32AF2"/>
    <w:rsid w:val="00D32F9E"/>
    <w:rsid w:val="00D339E1"/>
    <w:rsid w:val="00D340C9"/>
    <w:rsid w:val="00D341C3"/>
    <w:rsid w:val="00D34A22"/>
    <w:rsid w:val="00D34A2D"/>
    <w:rsid w:val="00D3519D"/>
    <w:rsid w:val="00D3635A"/>
    <w:rsid w:val="00D36571"/>
    <w:rsid w:val="00D36B0F"/>
    <w:rsid w:val="00D3713A"/>
    <w:rsid w:val="00D3768E"/>
    <w:rsid w:val="00D414A6"/>
    <w:rsid w:val="00D41DF2"/>
    <w:rsid w:val="00D43162"/>
    <w:rsid w:val="00D43694"/>
    <w:rsid w:val="00D436F2"/>
    <w:rsid w:val="00D437FF"/>
    <w:rsid w:val="00D43DDF"/>
    <w:rsid w:val="00D44323"/>
    <w:rsid w:val="00D447FA"/>
    <w:rsid w:val="00D45127"/>
    <w:rsid w:val="00D455A2"/>
    <w:rsid w:val="00D4619A"/>
    <w:rsid w:val="00D4631B"/>
    <w:rsid w:val="00D46FA2"/>
    <w:rsid w:val="00D4796E"/>
    <w:rsid w:val="00D47988"/>
    <w:rsid w:val="00D47C71"/>
    <w:rsid w:val="00D47E18"/>
    <w:rsid w:val="00D50C02"/>
    <w:rsid w:val="00D50FC5"/>
    <w:rsid w:val="00D5291D"/>
    <w:rsid w:val="00D52A2F"/>
    <w:rsid w:val="00D52EBB"/>
    <w:rsid w:val="00D52F4C"/>
    <w:rsid w:val="00D5342F"/>
    <w:rsid w:val="00D545EC"/>
    <w:rsid w:val="00D547DE"/>
    <w:rsid w:val="00D55C10"/>
    <w:rsid w:val="00D56327"/>
    <w:rsid w:val="00D570D1"/>
    <w:rsid w:val="00D611D0"/>
    <w:rsid w:val="00D620F9"/>
    <w:rsid w:val="00D625B1"/>
    <w:rsid w:val="00D62ED3"/>
    <w:rsid w:val="00D6416B"/>
    <w:rsid w:val="00D65279"/>
    <w:rsid w:val="00D65B30"/>
    <w:rsid w:val="00D65E92"/>
    <w:rsid w:val="00D66D7C"/>
    <w:rsid w:val="00D6747C"/>
    <w:rsid w:val="00D67602"/>
    <w:rsid w:val="00D7009E"/>
    <w:rsid w:val="00D702E1"/>
    <w:rsid w:val="00D7149B"/>
    <w:rsid w:val="00D714AC"/>
    <w:rsid w:val="00D71DF9"/>
    <w:rsid w:val="00D71FBF"/>
    <w:rsid w:val="00D7294A"/>
    <w:rsid w:val="00D737E2"/>
    <w:rsid w:val="00D7461C"/>
    <w:rsid w:val="00D74CD4"/>
    <w:rsid w:val="00D75E08"/>
    <w:rsid w:val="00D76338"/>
    <w:rsid w:val="00D76A63"/>
    <w:rsid w:val="00D81180"/>
    <w:rsid w:val="00D819FB"/>
    <w:rsid w:val="00D81D73"/>
    <w:rsid w:val="00D81E71"/>
    <w:rsid w:val="00D81F3D"/>
    <w:rsid w:val="00D82A3D"/>
    <w:rsid w:val="00D82B92"/>
    <w:rsid w:val="00D82D0C"/>
    <w:rsid w:val="00D83022"/>
    <w:rsid w:val="00D836AE"/>
    <w:rsid w:val="00D838CF"/>
    <w:rsid w:val="00D8391F"/>
    <w:rsid w:val="00D83B6F"/>
    <w:rsid w:val="00D84283"/>
    <w:rsid w:val="00D84D6F"/>
    <w:rsid w:val="00D85DC4"/>
    <w:rsid w:val="00D85EE5"/>
    <w:rsid w:val="00D8680A"/>
    <w:rsid w:val="00D86BF8"/>
    <w:rsid w:val="00D86EE5"/>
    <w:rsid w:val="00D86F1F"/>
    <w:rsid w:val="00D87443"/>
    <w:rsid w:val="00D87761"/>
    <w:rsid w:val="00D87E6D"/>
    <w:rsid w:val="00D90227"/>
    <w:rsid w:val="00D9082E"/>
    <w:rsid w:val="00D911E2"/>
    <w:rsid w:val="00D91749"/>
    <w:rsid w:val="00D923B7"/>
    <w:rsid w:val="00D93A04"/>
    <w:rsid w:val="00D93ECE"/>
    <w:rsid w:val="00D94B18"/>
    <w:rsid w:val="00D94B55"/>
    <w:rsid w:val="00D95198"/>
    <w:rsid w:val="00D95D66"/>
    <w:rsid w:val="00D964AE"/>
    <w:rsid w:val="00D96EA4"/>
    <w:rsid w:val="00D97241"/>
    <w:rsid w:val="00D97EF1"/>
    <w:rsid w:val="00D97EFD"/>
    <w:rsid w:val="00DA00BD"/>
    <w:rsid w:val="00DA0305"/>
    <w:rsid w:val="00DA1F04"/>
    <w:rsid w:val="00DA21CD"/>
    <w:rsid w:val="00DA22E4"/>
    <w:rsid w:val="00DA37AF"/>
    <w:rsid w:val="00DA5007"/>
    <w:rsid w:val="00DA5301"/>
    <w:rsid w:val="00DA5E47"/>
    <w:rsid w:val="00DA6129"/>
    <w:rsid w:val="00DA67E3"/>
    <w:rsid w:val="00DA69DE"/>
    <w:rsid w:val="00DA766C"/>
    <w:rsid w:val="00DB06F9"/>
    <w:rsid w:val="00DB07F5"/>
    <w:rsid w:val="00DB0F4B"/>
    <w:rsid w:val="00DB1A14"/>
    <w:rsid w:val="00DB2273"/>
    <w:rsid w:val="00DB3B5C"/>
    <w:rsid w:val="00DB4BBF"/>
    <w:rsid w:val="00DB4F1C"/>
    <w:rsid w:val="00DB4F90"/>
    <w:rsid w:val="00DB5E87"/>
    <w:rsid w:val="00DB5E9F"/>
    <w:rsid w:val="00DB6047"/>
    <w:rsid w:val="00DB663A"/>
    <w:rsid w:val="00DB6CA3"/>
    <w:rsid w:val="00DB7646"/>
    <w:rsid w:val="00DB7948"/>
    <w:rsid w:val="00DB7D78"/>
    <w:rsid w:val="00DC0989"/>
    <w:rsid w:val="00DC0A63"/>
    <w:rsid w:val="00DC1033"/>
    <w:rsid w:val="00DC2230"/>
    <w:rsid w:val="00DC239E"/>
    <w:rsid w:val="00DC2B62"/>
    <w:rsid w:val="00DC2E74"/>
    <w:rsid w:val="00DC3310"/>
    <w:rsid w:val="00DC3548"/>
    <w:rsid w:val="00DC5114"/>
    <w:rsid w:val="00DC5E9F"/>
    <w:rsid w:val="00DC6DFC"/>
    <w:rsid w:val="00DC6E3B"/>
    <w:rsid w:val="00DC74F7"/>
    <w:rsid w:val="00DC7D5D"/>
    <w:rsid w:val="00DD0380"/>
    <w:rsid w:val="00DD0DF0"/>
    <w:rsid w:val="00DD1974"/>
    <w:rsid w:val="00DD2D1B"/>
    <w:rsid w:val="00DD30F0"/>
    <w:rsid w:val="00DD35FA"/>
    <w:rsid w:val="00DD38C7"/>
    <w:rsid w:val="00DD3ACD"/>
    <w:rsid w:val="00DD4DD1"/>
    <w:rsid w:val="00DD611B"/>
    <w:rsid w:val="00DD6276"/>
    <w:rsid w:val="00DD6898"/>
    <w:rsid w:val="00DD720A"/>
    <w:rsid w:val="00DD722E"/>
    <w:rsid w:val="00DD756B"/>
    <w:rsid w:val="00DD77E1"/>
    <w:rsid w:val="00DD7E06"/>
    <w:rsid w:val="00DE03A7"/>
    <w:rsid w:val="00DE0485"/>
    <w:rsid w:val="00DE0A28"/>
    <w:rsid w:val="00DE100E"/>
    <w:rsid w:val="00DE1233"/>
    <w:rsid w:val="00DE1722"/>
    <w:rsid w:val="00DE28C9"/>
    <w:rsid w:val="00DE364C"/>
    <w:rsid w:val="00DE3B21"/>
    <w:rsid w:val="00DE3BA5"/>
    <w:rsid w:val="00DE4295"/>
    <w:rsid w:val="00DE44FC"/>
    <w:rsid w:val="00DE51E9"/>
    <w:rsid w:val="00DE5404"/>
    <w:rsid w:val="00DE54F7"/>
    <w:rsid w:val="00DE70CB"/>
    <w:rsid w:val="00DE73C0"/>
    <w:rsid w:val="00DE78D5"/>
    <w:rsid w:val="00DE7A90"/>
    <w:rsid w:val="00DE7FBC"/>
    <w:rsid w:val="00DF0FDA"/>
    <w:rsid w:val="00DF10A7"/>
    <w:rsid w:val="00DF1752"/>
    <w:rsid w:val="00DF1FA0"/>
    <w:rsid w:val="00DF2921"/>
    <w:rsid w:val="00DF30F9"/>
    <w:rsid w:val="00DF3744"/>
    <w:rsid w:val="00DF399A"/>
    <w:rsid w:val="00DF3E90"/>
    <w:rsid w:val="00DF3F2B"/>
    <w:rsid w:val="00DF3FB7"/>
    <w:rsid w:val="00DF4896"/>
    <w:rsid w:val="00DF4B83"/>
    <w:rsid w:val="00DF4CBA"/>
    <w:rsid w:val="00DF4CDC"/>
    <w:rsid w:val="00DF5979"/>
    <w:rsid w:val="00DF69FA"/>
    <w:rsid w:val="00DF6B91"/>
    <w:rsid w:val="00DF6F66"/>
    <w:rsid w:val="00DF7258"/>
    <w:rsid w:val="00DF756A"/>
    <w:rsid w:val="00DF7B43"/>
    <w:rsid w:val="00E00413"/>
    <w:rsid w:val="00E00E20"/>
    <w:rsid w:val="00E01453"/>
    <w:rsid w:val="00E01797"/>
    <w:rsid w:val="00E01BC1"/>
    <w:rsid w:val="00E02241"/>
    <w:rsid w:val="00E027B7"/>
    <w:rsid w:val="00E02FB7"/>
    <w:rsid w:val="00E03564"/>
    <w:rsid w:val="00E035D8"/>
    <w:rsid w:val="00E03BE4"/>
    <w:rsid w:val="00E03E9B"/>
    <w:rsid w:val="00E040F8"/>
    <w:rsid w:val="00E05035"/>
    <w:rsid w:val="00E05473"/>
    <w:rsid w:val="00E059CF"/>
    <w:rsid w:val="00E06F70"/>
    <w:rsid w:val="00E06F84"/>
    <w:rsid w:val="00E07D4E"/>
    <w:rsid w:val="00E105A1"/>
    <w:rsid w:val="00E10FEF"/>
    <w:rsid w:val="00E11071"/>
    <w:rsid w:val="00E12094"/>
    <w:rsid w:val="00E12F26"/>
    <w:rsid w:val="00E141A0"/>
    <w:rsid w:val="00E14CE3"/>
    <w:rsid w:val="00E1582D"/>
    <w:rsid w:val="00E158FE"/>
    <w:rsid w:val="00E15E15"/>
    <w:rsid w:val="00E16EA3"/>
    <w:rsid w:val="00E207E9"/>
    <w:rsid w:val="00E21AE3"/>
    <w:rsid w:val="00E21C0E"/>
    <w:rsid w:val="00E22004"/>
    <w:rsid w:val="00E227BF"/>
    <w:rsid w:val="00E22915"/>
    <w:rsid w:val="00E230C6"/>
    <w:rsid w:val="00E23165"/>
    <w:rsid w:val="00E2453F"/>
    <w:rsid w:val="00E24594"/>
    <w:rsid w:val="00E24EEE"/>
    <w:rsid w:val="00E2596B"/>
    <w:rsid w:val="00E25C4A"/>
    <w:rsid w:val="00E25F16"/>
    <w:rsid w:val="00E269A1"/>
    <w:rsid w:val="00E313B3"/>
    <w:rsid w:val="00E318DC"/>
    <w:rsid w:val="00E32E1F"/>
    <w:rsid w:val="00E32E5E"/>
    <w:rsid w:val="00E34571"/>
    <w:rsid w:val="00E365F7"/>
    <w:rsid w:val="00E36758"/>
    <w:rsid w:val="00E36FCA"/>
    <w:rsid w:val="00E378B0"/>
    <w:rsid w:val="00E406A1"/>
    <w:rsid w:val="00E407F5"/>
    <w:rsid w:val="00E40E3D"/>
    <w:rsid w:val="00E413B1"/>
    <w:rsid w:val="00E4169A"/>
    <w:rsid w:val="00E42869"/>
    <w:rsid w:val="00E42D1F"/>
    <w:rsid w:val="00E43086"/>
    <w:rsid w:val="00E43FBA"/>
    <w:rsid w:val="00E442A3"/>
    <w:rsid w:val="00E44320"/>
    <w:rsid w:val="00E45EA5"/>
    <w:rsid w:val="00E45FF5"/>
    <w:rsid w:val="00E4697C"/>
    <w:rsid w:val="00E46BB2"/>
    <w:rsid w:val="00E477D4"/>
    <w:rsid w:val="00E47A86"/>
    <w:rsid w:val="00E47F07"/>
    <w:rsid w:val="00E5098F"/>
    <w:rsid w:val="00E50992"/>
    <w:rsid w:val="00E514F6"/>
    <w:rsid w:val="00E51A72"/>
    <w:rsid w:val="00E528A6"/>
    <w:rsid w:val="00E53AE5"/>
    <w:rsid w:val="00E540E0"/>
    <w:rsid w:val="00E550E9"/>
    <w:rsid w:val="00E55A0D"/>
    <w:rsid w:val="00E55B58"/>
    <w:rsid w:val="00E55D4E"/>
    <w:rsid w:val="00E56061"/>
    <w:rsid w:val="00E560EE"/>
    <w:rsid w:val="00E56227"/>
    <w:rsid w:val="00E56ED8"/>
    <w:rsid w:val="00E57372"/>
    <w:rsid w:val="00E57D38"/>
    <w:rsid w:val="00E6002B"/>
    <w:rsid w:val="00E6084C"/>
    <w:rsid w:val="00E61B76"/>
    <w:rsid w:val="00E61BCF"/>
    <w:rsid w:val="00E621E4"/>
    <w:rsid w:val="00E63759"/>
    <w:rsid w:val="00E6417A"/>
    <w:rsid w:val="00E64A15"/>
    <w:rsid w:val="00E64F3C"/>
    <w:rsid w:val="00E66126"/>
    <w:rsid w:val="00E66FE2"/>
    <w:rsid w:val="00E67AA1"/>
    <w:rsid w:val="00E70157"/>
    <w:rsid w:val="00E71548"/>
    <w:rsid w:val="00E72042"/>
    <w:rsid w:val="00E7283F"/>
    <w:rsid w:val="00E72ACC"/>
    <w:rsid w:val="00E72BE0"/>
    <w:rsid w:val="00E738E8"/>
    <w:rsid w:val="00E74441"/>
    <w:rsid w:val="00E74B2D"/>
    <w:rsid w:val="00E74D2D"/>
    <w:rsid w:val="00E75FAB"/>
    <w:rsid w:val="00E7743E"/>
    <w:rsid w:val="00E77C39"/>
    <w:rsid w:val="00E77C95"/>
    <w:rsid w:val="00E800BA"/>
    <w:rsid w:val="00E8081F"/>
    <w:rsid w:val="00E80B30"/>
    <w:rsid w:val="00E81213"/>
    <w:rsid w:val="00E8225F"/>
    <w:rsid w:val="00E82E2A"/>
    <w:rsid w:val="00E83AA5"/>
    <w:rsid w:val="00E83C5F"/>
    <w:rsid w:val="00E83CB3"/>
    <w:rsid w:val="00E84620"/>
    <w:rsid w:val="00E85404"/>
    <w:rsid w:val="00E85EB2"/>
    <w:rsid w:val="00E86950"/>
    <w:rsid w:val="00E86F29"/>
    <w:rsid w:val="00E871ED"/>
    <w:rsid w:val="00E87922"/>
    <w:rsid w:val="00E87D7D"/>
    <w:rsid w:val="00E909B8"/>
    <w:rsid w:val="00E912A3"/>
    <w:rsid w:val="00E91CAC"/>
    <w:rsid w:val="00E921CB"/>
    <w:rsid w:val="00E9252C"/>
    <w:rsid w:val="00E9279D"/>
    <w:rsid w:val="00E9431C"/>
    <w:rsid w:val="00E94437"/>
    <w:rsid w:val="00E94B34"/>
    <w:rsid w:val="00E95232"/>
    <w:rsid w:val="00E954C5"/>
    <w:rsid w:val="00E95F30"/>
    <w:rsid w:val="00E9637C"/>
    <w:rsid w:val="00E97104"/>
    <w:rsid w:val="00E97291"/>
    <w:rsid w:val="00E97754"/>
    <w:rsid w:val="00E97D90"/>
    <w:rsid w:val="00EA09AC"/>
    <w:rsid w:val="00EA2126"/>
    <w:rsid w:val="00EA2218"/>
    <w:rsid w:val="00EA274F"/>
    <w:rsid w:val="00EA27E0"/>
    <w:rsid w:val="00EA2B0A"/>
    <w:rsid w:val="00EA40E8"/>
    <w:rsid w:val="00EA40EB"/>
    <w:rsid w:val="00EA43D7"/>
    <w:rsid w:val="00EA4A64"/>
    <w:rsid w:val="00EA4D25"/>
    <w:rsid w:val="00EA4DDB"/>
    <w:rsid w:val="00EA4EA9"/>
    <w:rsid w:val="00EA5366"/>
    <w:rsid w:val="00EA540C"/>
    <w:rsid w:val="00EA5766"/>
    <w:rsid w:val="00EA5FD1"/>
    <w:rsid w:val="00EA6C15"/>
    <w:rsid w:val="00EA6C3A"/>
    <w:rsid w:val="00EA7380"/>
    <w:rsid w:val="00EA779C"/>
    <w:rsid w:val="00EB04C3"/>
    <w:rsid w:val="00EB1C0E"/>
    <w:rsid w:val="00EB2557"/>
    <w:rsid w:val="00EB272A"/>
    <w:rsid w:val="00EB2B5E"/>
    <w:rsid w:val="00EB2F96"/>
    <w:rsid w:val="00EB2FE1"/>
    <w:rsid w:val="00EB3177"/>
    <w:rsid w:val="00EB3939"/>
    <w:rsid w:val="00EB3DB4"/>
    <w:rsid w:val="00EB3DD9"/>
    <w:rsid w:val="00EB41D2"/>
    <w:rsid w:val="00EB532C"/>
    <w:rsid w:val="00EB5CD4"/>
    <w:rsid w:val="00EB61EA"/>
    <w:rsid w:val="00EB6625"/>
    <w:rsid w:val="00EB6BC3"/>
    <w:rsid w:val="00EB7337"/>
    <w:rsid w:val="00EC007D"/>
    <w:rsid w:val="00EC0645"/>
    <w:rsid w:val="00EC09C1"/>
    <w:rsid w:val="00EC1AEE"/>
    <w:rsid w:val="00EC1CA2"/>
    <w:rsid w:val="00EC3D27"/>
    <w:rsid w:val="00EC405C"/>
    <w:rsid w:val="00EC45AE"/>
    <w:rsid w:val="00EC4A0C"/>
    <w:rsid w:val="00EC5692"/>
    <w:rsid w:val="00EC5B75"/>
    <w:rsid w:val="00EC5C01"/>
    <w:rsid w:val="00EC6ADD"/>
    <w:rsid w:val="00EC6C73"/>
    <w:rsid w:val="00EC78B4"/>
    <w:rsid w:val="00EC7AA5"/>
    <w:rsid w:val="00EC7CCB"/>
    <w:rsid w:val="00EC7CF1"/>
    <w:rsid w:val="00EC7EDD"/>
    <w:rsid w:val="00ED25BA"/>
    <w:rsid w:val="00ED2B74"/>
    <w:rsid w:val="00ED39ED"/>
    <w:rsid w:val="00ED3C7E"/>
    <w:rsid w:val="00ED5451"/>
    <w:rsid w:val="00ED5605"/>
    <w:rsid w:val="00ED566B"/>
    <w:rsid w:val="00ED643B"/>
    <w:rsid w:val="00ED755D"/>
    <w:rsid w:val="00ED7BE8"/>
    <w:rsid w:val="00ED7D5B"/>
    <w:rsid w:val="00EE1E05"/>
    <w:rsid w:val="00EE22B4"/>
    <w:rsid w:val="00EE2364"/>
    <w:rsid w:val="00EE28FF"/>
    <w:rsid w:val="00EE2AAC"/>
    <w:rsid w:val="00EE2D98"/>
    <w:rsid w:val="00EE30BC"/>
    <w:rsid w:val="00EE3568"/>
    <w:rsid w:val="00EE38A9"/>
    <w:rsid w:val="00EE4A9C"/>
    <w:rsid w:val="00EE5532"/>
    <w:rsid w:val="00EE5BCB"/>
    <w:rsid w:val="00EE63D4"/>
    <w:rsid w:val="00EE664D"/>
    <w:rsid w:val="00EE765B"/>
    <w:rsid w:val="00EE781B"/>
    <w:rsid w:val="00EE7EB0"/>
    <w:rsid w:val="00EF0346"/>
    <w:rsid w:val="00EF1B33"/>
    <w:rsid w:val="00EF226C"/>
    <w:rsid w:val="00EF3250"/>
    <w:rsid w:val="00EF5122"/>
    <w:rsid w:val="00EF5788"/>
    <w:rsid w:val="00EF5B97"/>
    <w:rsid w:val="00EF5BB6"/>
    <w:rsid w:val="00EF6070"/>
    <w:rsid w:val="00EF64DF"/>
    <w:rsid w:val="00EF7636"/>
    <w:rsid w:val="00EF7698"/>
    <w:rsid w:val="00EF7D9E"/>
    <w:rsid w:val="00F00823"/>
    <w:rsid w:val="00F018B8"/>
    <w:rsid w:val="00F019FD"/>
    <w:rsid w:val="00F01A94"/>
    <w:rsid w:val="00F01B18"/>
    <w:rsid w:val="00F021FF"/>
    <w:rsid w:val="00F04557"/>
    <w:rsid w:val="00F04791"/>
    <w:rsid w:val="00F04941"/>
    <w:rsid w:val="00F0527E"/>
    <w:rsid w:val="00F06760"/>
    <w:rsid w:val="00F0677E"/>
    <w:rsid w:val="00F0747C"/>
    <w:rsid w:val="00F07528"/>
    <w:rsid w:val="00F077C4"/>
    <w:rsid w:val="00F07C9B"/>
    <w:rsid w:val="00F07EEC"/>
    <w:rsid w:val="00F105DE"/>
    <w:rsid w:val="00F10C6C"/>
    <w:rsid w:val="00F1117C"/>
    <w:rsid w:val="00F111F2"/>
    <w:rsid w:val="00F11394"/>
    <w:rsid w:val="00F113FD"/>
    <w:rsid w:val="00F115FF"/>
    <w:rsid w:val="00F11E3B"/>
    <w:rsid w:val="00F11F9A"/>
    <w:rsid w:val="00F12371"/>
    <w:rsid w:val="00F1273D"/>
    <w:rsid w:val="00F12B66"/>
    <w:rsid w:val="00F12EB8"/>
    <w:rsid w:val="00F1336F"/>
    <w:rsid w:val="00F13472"/>
    <w:rsid w:val="00F13AAC"/>
    <w:rsid w:val="00F155B2"/>
    <w:rsid w:val="00F15A20"/>
    <w:rsid w:val="00F15E63"/>
    <w:rsid w:val="00F16116"/>
    <w:rsid w:val="00F2051B"/>
    <w:rsid w:val="00F2067B"/>
    <w:rsid w:val="00F20D8F"/>
    <w:rsid w:val="00F21269"/>
    <w:rsid w:val="00F21D16"/>
    <w:rsid w:val="00F22EA9"/>
    <w:rsid w:val="00F23F78"/>
    <w:rsid w:val="00F24448"/>
    <w:rsid w:val="00F24494"/>
    <w:rsid w:val="00F250C4"/>
    <w:rsid w:val="00F252AD"/>
    <w:rsid w:val="00F2538E"/>
    <w:rsid w:val="00F2578A"/>
    <w:rsid w:val="00F25AD8"/>
    <w:rsid w:val="00F26033"/>
    <w:rsid w:val="00F26DB2"/>
    <w:rsid w:val="00F27E73"/>
    <w:rsid w:val="00F322AB"/>
    <w:rsid w:val="00F3288A"/>
    <w:rsid w:val="00F3339C"/>
    <w:rsid w:val="00F34260"/>
    <w:rsid w:val="00F34923"/>
    <w:rsid w:val="00F34A28"/>
    <w:rsid w:val="00F34BCC"/>
    <w:rsid w:val="00F35351"/>
    <w:rsid w:val="00F35509"/>
    <w:rsid w:val="00F36B73"/>
    <w:rsid w:val="00F40365"/>
    <w:rsid w:val="00F40EF4"/>
    <w:rsid w:val="00F4292A"/>
    <w:rsid w:val="00F42C6A"/>
    <w:rsid w:val="00F431D8"/>
    <w:rsid w:val="00F4321E"/>
    <w:rsid w:val="00F435C3"/>
    <w:rsid w:val="00F44265"/>
    <w:rsid w:val="00F4455D"/>
    <w:rsid w:val="00F46286"/>
    <w:rsid w:val="00F46714"/>
    <w:rsid w:val="00F469EC"/>
    <w:rsid w:val="00F47966"/>
    <w:rsid w:val="00F50A8C"/>
    <w:rsid w:val="00F52937"/>
    <w:rsid w:val="00F52AA6"/>
    <w:rsid w:val="00F52F74"/>
    <w:rsid w:val="00F53CA1"/>
    <w:rsid w:val="00F546EB"/>
    <w:rsid w:val="00F54C6F"/>
    <w:rsid w:val="00F55465"/>
    <w:rsid w:val="00F557B9"/>
    <w:rsid w:val="00F56162"/>
    <w:rsid w:val="00F5637B"/>
    <w:rsid w:val="00F5655C"/>
    <w:rsid w:val="00F56D9C"/>
    <w:rsid w:val="00F56E89"/>
    <w:rsid w:val="00F57F7B"/>
    <w:rsid w:val="00F60442"/>
    <w:rsid w:val="00F60DF1"/>
    <w:rsid w:val="00F61110"/>
    <w:rsid w:val="00F6260F"/>
    <w:rsid w:val="00F62D96"/>
    <w:rsid w:val="00F630DE"/>
    <w:rsid w:val="00F63273"/>
    <w:rsid w:val="00F634B2"/>
    <w:rsid w:val="00F640E2"/>
    <w:rsid w:val="00F645AB"/>
    <w:rsid w:val="00F64623"/>
    <w:rsid w:val="00F64CB0"/>
    <w:rsid w:val="00F659A9"/>
    <w:rsid w:val="00F667DE"/>
    <w:rsid w:val="00F669EF"/>
    <w:rsid w:val="00F67878"/>
    <w:rsid w:val="00F7070F"/>
    <w:rsid w:val="00F71389"/>
    <w:rsid w:val="00F731FE"/>
    <w:rsid w:val="00F7490C"/>
    <w:rsid w:val="00F75B05"/>
    <w:rsid w:val="00F75CFF"/>
    <w:rsid w:val="00F76906"/>
    <w:rsid w:val="00F77296"/>
    <w:rsid w:val="00F80440"/>
    <w:rsid w:val="00F806E3"/>
    <w:rsid w:val="00F80C43"/>
    <w:rsid w:val="00F80EDD"/>
    <w:rsid w:val="00F81F9C"/>
    <w:rsid w:val="00F8315B"/>
    <w:rsid w:val="00F837F1"/>
    <w:rsid w:val="00F83AF9"/>
    <w:rsid w:val="00F83B7A"/>
    <w:rsid w:val="00F83FFF"/>
    <w:rsid w:val="00F86391"/>
    <w:rsid w:val="00F86A61"/>
    <w:rsid w:val="00F8702B"/>
    <w:rsid w:val="00F8731C"/>
    <w:rsid w:val="00F90028"/>
    <w:rsid w:val="00F909D0"/>
    <w:rsid w:val="00F90B89"/>
    <w:rsid w:val="00F90E0A"/>
    <w:rsid w:val="00F91CC9"/>
    <w:rsid w:val="00F91F3A"/>
    <w:rsid w:val="00F920D1"/>
    <w:rsid w:val="00F921AA"/>
    <w:rsid w:val="00F9243A"/>
    <w:rsid w:val="00F928D1"/>
    <w:rsid w:val="00F9409A"/>
    <w:rsid w:val="00F94FC7"/>
    <w:rsid w:val="00F95184"/>
    <w:rsid w:val="00F95954"/>
    <w:rsid w:val="00F95D5E"/>
    <w:rsid w:val="00F974C7"/>
    <w:rsid w:val="00F97647"/>
    <w:rsid w:val="00F97B38"/>
    <w:rsid w:val="00F97F29"/>
    <w:rsid w:val="00FA0540"/>
    <w:rsid w:val="00FA15C6"/>
    <w:rsid w:val="00FA17B9"/>
    <w:rsid w:val="00FA1BBA"/>
    <w:rsid w:val="00FA1C5D"/>
    <w:rsid w:val="00FA1E63"/>
    <w:rsid w:val="00FA33DD"/>
    <w:rsid w:val="00FA392D"/>
    <w:rsid w:val="00FA4545"/>
    <w:rsid w:val="00FA4E27"/>
    <w:rsid w:val="00FA5200"/>
    <w:rsid w:val="00FA56B3"/>
    <w:rsid w:val="00FA585D"/>
    <w:rsid w:val="00FA618B"/>
    <w:rsid w:val="00FA6564"/>
    <w:rsid w:val="00FA7251"/>
    <w:rsid w:val="00FA734D"/>
    <w:rsid w:val="00FA737C"/>
    <w:rsid w:val="00FA758E"/>
    <w:rsid w:val="00FA7EF5"/>
    <w:rsid w:val="00FB03EA"/>
    <w:rsid w:val="00FB11C0"/>
    <w:rsid w:val="00FB11C8"/>
    <w:rsid w:val="00FB1900"/>
    <w:rsid w:val="00FB1BA1"/>
    <w:rsid w:val="00FB1D28"/>
    <w:rsid w:val="00FB21E6"/>
    <w:rsid w:val="00FB2412"/>
    <w:rsid w:val="00FB324D"/>
    <w:rsid w:val="00FB3E76"/>
    <w:rsid w:val="00FB5C55"/>
    <w:rsid w:val="00FB5E78"/>
    <w:rsid w:val="00FB62B4"/>
    <w:rsid w:val="00FB6BAF"/>
    <w:rsid w:val="00FB70E0"/>
    <w:rsid w:val="00FB71C5"/>
    <w:rsid w:val="00FB7919"/>
    <w:rsid w:val="00FC0969"/>
    <w:rsid w:val="00FC1F9A"/>
    <w:rsid w:val="00FC29A8"/>
    <w:rsid w:val="00FC3617"/>
    <w:rsid w:val="00FC472F"/>
    <w:rsid w:val="00FC48A8"/>
    <w:rsid w:val="00FC5760"/>
    <w:rsid w:val="00FC5A5F"/>
    <w:rsid w:val="00FC62D5"/>
    <w:rsid w:val="00FC6414"/>
    <w:rsid w:val="00FC68FA"/>
    <w:rsid w:val="00FC6A8D"/>
    <w:rsid w:val="00FC6BDB"/>
    <w:rsid w:val="00FC6DE3"/>
    <w:rsid w:val="00FC7022"/>
    <w:rsid w:val="00FC7C34"/>
    <w:rsid w:val="00FC7D21"/>
    <w:rsid w:val="00FC7DFB"/>
    <w:rsid w:val="00FC7F07"/>
    <w:rsid w:val="00FD0845"/>
    <w:rsid w:val="00FD1C6A"/>
    <w:rsid w:val="00FD26B6"/>
    <w:rsid w:val="00FD279E"/>
    <w:rsid w:val="00FD2932"/>
    <w:rsid w:val="00FD3F1D"/>
    <w:rsid w:val="00FD3F9D"/>
    <w:rsid w:val="00FD413C"/>
    <w:rsid w:val="00FD45D0"/>
    <w:rsid w:val="00FD4663"/>
    <w:rsid w:val="00FD4E9C"/>
    <w:rsid w:val="00FD5E0D"/>
    <w:rsid w:val="00FD5EBE"/>
    <w:rsid w:val="00FD69C8"/>
    <w:rsid w:val="00FD6A45"/>
    <w:rsid w:val="00FD6BB8"/>
    <w:rsid w:val="00FD7103"/>
    <w:rsid w:val="00FE0B43"/>
    <w:rsid w:val="00FE188F"/>
    <w:rsid w:val="00FE19F4"/>
    <w:rsid w:val="00FE1B9A"/>
    <w:rsid w:val="00FE298B"/>
    <w:rsid w:val="00FE33D9"/>
    <w:rsid w:val="00FE39DF"/>
    <w:rsid w:val="00FE3F74"/>
    <w:rsid w:val="00FE480A"/>
    <w:rsid w:val="00FE4D4D"/>
    <w:rsid w:val="00FE55AF"/>
    <w:rsid w:val="00FE5C11"/>
    <w:rsid w:val="00FE5F26"/>
    <w:rsid w:val="00FE66E6"/>
    <w:rsid w:val="00FE6BE4"/>
    <w:rsid w:val="00FE786F"/>
    <w:rsid w:val="00FF01F6"/>
    <w:rsid w:val="00FF09E4"/>
    <w:rsid w:val="00FF1894"/>
    <w:rsid w:val="00FF2473"/>
    <w:rsid w:val="00FF2B29"/>
    <w:rsid w:val="00FF2B7F"/>
    <w:rsid w:val="00FF309F"/>
    <w:rsid w:val="00FF5169"/>
    <w:rsid w:val="00FF546C"/>
    <w:rsid w:val="00FF59D5"/>
    <w:rsid w:val="00FF5A2C"/>
    <w:rsid w:val="00FF6030"/>
    <w:rsid w:val="00FF6296"/>
    <w:rsid w:val="00FF630E"/>
    <w:rsid w:val="00FF64F2"/>
    <w:rsid w:val="00FF721B"/>
    <w:rsid w:val="00FF7389"/>
    <w:rsid w:val="00FF7850"/>
    <w:rsid w:val="00FF7B1A"/>
    <w:rsid w:val="010B405F"/>
    <w:rsid w:val="012B64AF"/>
    <w:rsid w:val="01576085"/>
    <w:rsid w:val="016025FC"/>
    <w:rsid w:val="01643005"/>
    <w:rsid w:val="019B2F5B"/>
    <w:rsid w:val="01A00C4B"/>
    <w:rsid w:val="01A26771"/>
    <w:rsid w:val="01A5725D"/>
    <w:rsid w:val="01AC60EB"/>
    <w:rsid w:val="01BF37C7"/>
    <w:rsid w:val="01C34939"/>
    <w:rsid w:val="01C54B55"/>
    <w:rsid w:val="01C7267B"/>
    <w:rsid w:val="01E74ACC"/>
    <w:rsid w:val="01F66ABD"/>
    <w:rsid w:val="01F80A87"/>
    <w:rsid w:val="02025461"/>
    <w:rsid w:val="02070CCA"/>
    <w:rsid w:val="0213766F"/>
    <w:rsid w:val="02186A33"/>
    <w:rsid w:val="021C21DE"/>
    <w:rsid w:val="023575E5"/>
    <w:rsid w:val="02405F8A"/>
    <w:rsid w:val="02467A44"/>
    <w:rsid w:val="024E4B4B"/>
    <w:rsid w:val="0256755B"/>
    <w:rsid w:val="02641C78"/>
    <w:rsid w:val="026B74AB"/>
    <w:rsid w:val="0273010D"/>
    <w:rsid w:val="02746BAB"/>
    <w:rsid w:val="02766859"/>
    <w:rsid w:val="027C16B8"/>
    <w:rsid w:val="027E2E67"/>
    <w:rsid w:val="02906F11"/>
    <w:rsid w:val="0295277A"/>
    <w:rsid w:val="02960170"/>
    <w:rsid w:val="02996BC0"/>
    <w:rsid w:val="029E3A88"/>
    <w:rsid w:val="02BC3862"/>
    <w:rsid w:val="02D05560"/>
    <w:rsid w:val="02E903CF"/>
    <w:rsid w:val="02EB4148"/>
    <w:rsid w:val="02EC3D8A"/>
    <w:rsid w:val="031C69F7"/>
    <w:rsid w:val="03324574"/>
    <w:rsid w:val="03455F4E"/>
    <w:rsid w:val="03726617"/>
    <w:rsid w:val="038500F8"/>
    <w:rsid w:val="039D18E6"/>
    <w:rsid w:val="03B22EB7"/>
    <w:rsid w:val="03C2759E"/>
    <w:rsid w:val="03D96696"/>
    <w:rsid w:val="03E94B2B"/>
    <w:rsid w:val="03F139E0"/>
    <w:rsid w:val="03F1578E"/>
    <w:rsid w:val="03FE4719"/>
    <w:rsid w:val="04003C23"/>
    <w:rsid w:val="0410030A"/>
    <w:rsid w:val="042C2C6A"/>
    <w:rsid w:val="04640655"/>
    <w:rsid w:val="04820ADC"/>
    <w:rsid w:val="04874344"/>
    <w:rsid w:val="048E122E"/>
    <w:rsid w:val="04BF763A"/>
    <w:rsid w:val="04E43544"/>
    <w:rsid w:val="04E92909"/>
    <w:rsid w:val="04EB67BE"/>
    <w:rsid w:val="04F73278"/>
    <w:rsid w:val="04FF037E"/>
    <w:rsid w:val="05243941"/>
    <w:rsid w:val="05290F57"/>
    <w:rsid w:val="053578FC"/>
    <w:rsid w:val="053A3164"/>
    <w:rsid w:val="05597A8E"/>
    <w:rsid w:val="056106F1"/>
    <w:rsid w:val="0576339F"/>
    <w:rsid w:val="0585028E"/>
    <w:rsid w:val="058820D2"/>
    <w:rsid w:val="05CA098C"/>
    <w:rsid w:val="05CC64B2"/>
    <w:rsid w:val="05D215EF"/>
    <w:rsid w:val="05D830A9"/>
    <w:rsid w:val="05F6352F"/>
    <w:rsid w:val="06177EE0"/>
    <w:rsid w:val="06255BC2"/>
    <w:rsid w:val="06277B8D"/>
    <w:rsid w:val="062E4A77"/>
    <w:rsid w:val="062F6A41"/>
    <w:rsid w:val="06557DAB"/>
    <w:rsid w:val="065B7836"/>
    <w:rsid w:val="06691F53"/>
    <w:rsid w:val="06826B71"/>
    <w:rsid w:val="06A967F3"/>
    <w:rsid w:val="06AE7966"/>
    <w:rsid w:val="06D422A5"/>
    <w:rsid w:val="06E15F8D"/>
    <w:rsid w:val="06E17D3B"/>
    <w:rsid w:val="06E710CA"/>
    <w:rsid w:val="06EF18C7"/>
    <w:rsid w:val="06F15AA5"/>
    <w:rsid w:val="06F86E33"/>
    <w:rsid w:val="06FF13BC"/>
    <w:rsid w:val="07034156"/>
    <w:rsid w:val="070B300A"/>
    <w:rsid w:val="07132C1C"/>
    <w:rsid w:val="07603356"/>
    <w:rsid w:val="076F2044"/>
    <w:rsid w:val="077566D6"/>
    <w:rsid w:val="0790350F"/>
    <w:rsid w:val="079C0106"/>
    <w:rsid w:val="07A53B55"/>
    <w:rsid w:val="07AB78D2"/>
    <w:rsid w:val="07B05960"/>
    <w:rsid w:val="07BE007D"/>
    <w:rsid w:val="07C66F31"/>
    <w:rsid w:val="07D21D7A"/>
    <w:rsid w:val="07DC6755"/>
    <w:rsid w:val="07E01DA1"/>
    <w:rsid w:val="07E07FF3"/>
    <w:rsid w:val="07F7533D"/>
    <w:rsid w:val="080812F8"/>
    <w:rsid w:val="08393BA7"/>
    <w:rsid w:val="084A1910"/>
    <w:rsid w:val="0858227F"/>
    <w:rsid w:val="08601134"/>
    <w:rsid w:val="0865499C"/>
    <w:rsid w:val="086C7AD9"/>
    <w:rsid w:val="0874698D"/>
    <w:rsid w:val="0882554E"/>
    <w:rsid w:val="088414E3"/>
    <w:rsid w:val="088968DD"/>
    <w:rsid w:val="088A61B1"/>
    <w:rsid w:val="08A92326"/>
    <w:rsid w:val="08B1373D"/>
    <w:rsid w:val="08C571E9"/>
    <w:rsid w:val="08C72F61"/>
    <w:rsid w:val="08CF1E16"/>
    <w:rsid w:val="08DB07BA"/>
    <w:rsid w:val="08EE04EE"/>
    <w:rsid w:val="08FA50E4"/>
    <w:rsid w:val="090146C5"/>
    <w:rsid w:val="09047D11"/>
    <w:rsid w:val="09104908"/>
    <w:rsid w:val="09121B08"/>
    <w:rsid w:val="092C7268"/>
    <w:rsid w:val="095962AF"/>
    <w:rsid w:val="096C1E19"/>
    <w:rsid w:val="097035F9"/>
    <w:rsid w:val="098D5F59"/>
    <w:rsid w:val="099512B1"/>
    <w:rsid w:val="09B434E5"/>
    <w:rsid w:val="09B554AF"/>
    <w:rsid w:val="09B71227"/>
    <w:rsid w:val="09B93488"/>
    <w:rsid w:val="0A00497C"/>
    <w:rsid w:val="0A03446D"/>
    <w:rsid w:val="0A147F4C"/>
    <w:rsid w:val="0A1C52DC"/>
    <w:rsid w:val="0A2543E3"/>
    <w:rsid w:val="0A456833"/>
    <w:rsid w:val="0A49337D"/>
    <w:rsid w:val="0A4C7BC2"/>
    <w:rsid w:val="0A546A76"/>
    <w:rsid w:val="0A60541B"/>
    <w:rsid w:val="0A8235E3"/>
    <w:rsid w:val="0A825BE5"/>
    <w:rsid w:val="0A8455AD"/>
    <w:rsid w:val="0A876E4C"/>
    <w:rsid w:val="0A877197"/>
    <w:rsid w:val="0AB063A2"/>
    <w:rsid w:val="0AB17A28"/>
    <w:rsid w:val="0AB614DF"/>
    <w:rsid w:val="0ABB08A3"/>
    <w:rsid w:val="0ADF0A36"/>
    <w:rsid w:val="0B0B182B"/>
    <w:rsid w:val="0B0E131B"/>
    <w:rsid w:val="0B0F11CC"/>
    <w:rsid w:val="0B1701D0"/>
    <w:rsid w:val="0B187AA4"/>
    <w:rsid w:val="0B2C354F"/>
    <w:rsid w:val="0B304DED"/>
    <w:rsid w:val="0B350656"/>
    <w:rsid w:val="0B3C7C36"/>
    <w:rsid w:val="0B464611"/>
    <w:rsid w:val="0B582596"/>
    <w:rsid w:val="0B604FE2"/>
    <w:rsid w:val="0B6902FF"/>
    <w:rsid w:val="0B754EF6"/>
    <w:rsid w:val="0B860EB1"/>
    <w:rsid w:val="0B974E6D"/>
    <w:rsid w:val="0BA13F3D"/>
    <w:rsid w:val="0BBE4AEF"/>
    <w:rsid w:val="0BF47CA7"/>
    <w:rsid w:val="0BFB4525"/>
    <w:rsid w:val="0C006EB6"/>
    <w:rsid w:val="0C0149DC"/>
    <w:rsid w:val="0C160487"/>
    <w:rsid w:val="0C1E733C"/>
    <w:rsid w:val="0C2C7CAB"/>
    <w:rsid w:val="0C360B29"/>
    <w:rsid w:val="0C50326D"/>
    <w:rsid w:val="0C5965C6"/>
    <w:rsid w:val="0C620588"/>
    <w:rsid w:val="0C6B1986"/>
    <w:rsid w:val="0C6D709F"/>
    <w:rsid w:val="0C762CD4"/>
    <w:rsid w:val="0C915D60"/>
    <w:rsid w:val="0C9615C8"/>
    <w:rsid w:val="0CB101B0"/>
    <w:rsid w:val="0CB16402"/>
    <w:rsid w:val="0CCA74C4"/>
    <w:rsid w:val="0CCE17EE"/>
    <w:rsid w:val="0CD30126"/>
    <w:rsid w:val="0CEC11E8"/>
    <w:rsid w:val="0CEE6D0E"/>
    <w:rsid w:val="0CF87B8D"/>
    <w:rsid w:val="0CFD51A3"/>
    <w:rsid w:val="0D077DD0"/>
    <w:rsid w:val="0D0E115E"/>
    <w:rsid w:val="0D1349C7"/>
    <w:rsid w:val="0D2C3CDA"/>
    <w:rsid w:val="0D3606B5"/>
    <w:rsid w:val="0D411534"/>
    <w:rsid w:val="0D441024"/>
    <w:rsid w:val="0D4728C2"/>
    <w:rsid w:val="0D4E074D"/>
    <w:rsid w:val="0D4E1EA3"/>
    <w:rsid w:val="0D8238FA"/>
    <w:rsid w:val="0D8B27AF"/>
    <w:rsid w:val="0D927FE1"/>
    <w:rsid w:val="0D9553DC"/>
    <w:rsid w:val="0D957AD2"/>
    <w:rsid w:val="0DA970D9"/>
    <w:rsid w:val="0DAE15F9"/>
    <w:rsid w:val="0DAF0B93"/>
    <w:rsid w:val="0DB37F58"/>
    <w:rsid w:val="0DC21F49"/>
    <w:rsid w:val="0DE85E53"/>
    <w:rsid w:val="0DF20A80"/>
    <w:rsid w:val="0E033433"/>
    <w:rsid w:val="0E083E00"/>
    <w:rsid w:val="0E107158"/>
    <w:rsid w:val="0E176739"/>
    <w:rsid w:val="0E372DD1"/>
    <w:rsid w:val="0E6C1257"/>
    <w:rsid w:val="0E794CFD"/>
    <w:rsid w:val="0E7B0A75"/>
    <w:rsid w:val="0E8813E4"/>
    <w:rsid w:val="0E8A0CB9"/>
    <w:rsid w:val="0E910299"/>
    <w:rsid w:val="0E9B42D5"/>
    <w:rsid w:val="0EB61AAE"/>
    <w:rsid w:val="0EBD108E"/>
    <w:rsid w:val="0EC35F79"/>
    <w:rsid w:val="0ECC7523"/>
    <w:rsid w:val="0EDE1004"/>
    <w:rsid w:val="0EE41D10"/>
    <w:rsid w:val="0EF3685E"/>
    <w:rsid w:val="0F026AA1"/>
    <w:rsid w:val="0F0F11BE"/>
    <w:rsid w:val="0F4946D0"/>
    <w:rsid w:val="0F6E2388"/>
    <w:rsid w:val="0F737BE0"/>
    <w:rsid w:val="0F786D63"/>
    <w:rsid w:val="0F7D081D"/>
    <w:rsid w:val="0F8B55A1"/>
    <w:rsid w:val="0F9B0CA3"/>
    <w:rsid w:val="0F9F0794"/>
    <w:rsid w:val="0FA1275E"/>
    <w:rsid w:val="0FA14F53"/>
    <w:rsid w:val="0FA20284"/>
    <w:rsid w:val="0FED59A3"/>
    <w:rsid w:val="0FF9427B"/>
    <w:rsid w:val="10267D13"/>
    <w:rsid w:val="10286AB6"/>
    <w:rsid w:val="102D2243"/>
    <w:rsid w:val="103B4960"/>
    <w:rsid w:val="10687DDF"/>
    <w:rsid w:val="1070787E"/>
    <w:rsid w:val="107240FA"/>
    <w:rsid w:val="10947BCD"/>
    <w:rsid w:val="10A83678"/>
    <w:rsid w:val="10B244F7"/>
    <w:rsid w:val="10B65D95"/>
    <w:rsid w:val="10D206F5"/>
    <w:rsid w:val="10D426BF"/>
    <w:rsid w:val="10E723F2"/>
    <w:rsid w:val="10EA5A3E"/>
    <w:rsid w:val="10EF574B"/>
    <w:rsid w:val="1102722C"/>
    <w:rsid w:val="1115264F"/>
    <w:rsid w:val="11333889"/>
    <w:rsid w:val="114101DB"/>
    <w:rsid w:val="11511F61"/>
    <w:rsid w:val="11515ABE"/>
    <w:rsid w:val="11535CDA"/>
    <w:rsid w:val="11673533"/>
    <w:rsid w:val="11785740"/>
    <w:rsid w:val="118A1208"/>
    <w:rsid w:val="11940AC6"/>
    <w:rsid w:val="11B5604C"/>
    <w:rsid w:val="11BE2DE2"/>
    <w:rsid w:val="11CC15E8"/>
    <w:rsid w:val="11CE710E"/>
    <w:rsid w:val="11D16BFE"/>
    <w:rsid w:val="11D30171"/>
    <w:rsid w:val="11DA5AB3"/>
    <w:rsid w:val="11DB4B38"/>
    <w:rsid w:val="11E626AA"/>
    <w:rsid w:val="11EB7CC0"/>
    <w:rsid w:val="1211524D"/>
    <w:rsid w:val="12152F8F"/>
    <w:rsid w:val="121D1E44"/>
    <w:rsid w:val="122A4C8C"/>
    <w:rsid w:val="1235718D"/>
    <w:rsid w:val="12386C7D"/>
    <w:rsid w:val="125360FB"/>
    <w:rsid w:val="12635AA8"/>
    <w:rsid w:val="12745F08"/>
    <w:rsid w:val="128249D8"/>
    <w:rsid w:val="12A05ABE"/>
    <w:rsid w:val="12A14823"/>
    <w:rsid w:val="12BC340B"/>
    <w:rsid w:val="12CB228E"/>
    <w:rsid w:val="12EC0194"/>
    <w:rsid w:val="130354DD"/>
    <w:rsid w:val="13196AAF"/>
    <w:rsid w:val="13315BA7"/>
    <w:rsid w:val="133833D9"/>
    <w:rsid w:val="133B07D3"/>
    <w:rsid w:val="134A0A16"/>
    <w:rsid w:val="134C478E"/>
    <w:rsid w:val="13665E1A"/>
    <w:rsid w:val="13750189"/>
    <w:rsid w:val="1379754E"/>
    <w:rsid w:val="13830281"/>
    <w:rsid w:val="1389504F"/>
    <w:rsid w:val="13964589"/>
    <w:rsid w:val="139D445C"/>
    <w:rsid w:val="13AE71F7"/>
    <w:rsid w:val="13AF4D1D"/>
    <w:rsid w:val="13C20EF5"/>
    <w:rsid w:val="13D645ED"/>
    <w:rsid w:val="13DF5603"/>
    <w:rsid w:val="13EB3FA7"/>
    <w:rsid w:val="13F82B68"/>
    <w:rsid w:val="14027543"/>
    <w:rsid w:val="14092680"/>
    <w:rsid w:val="14101C60"/>
    <w:rsid w:val="14103A0E"/>
    <w:rsid w:val="14196576"/>
    <w:rsid w:val="142E20E6"/>
    <w:rsid w:val="14304AF5"/>
    <w:rsid w:val="143D55B7"/>
    <w:rsid w:val="1457583F"/>
    <w:rsid w:val="14587163"/>
    <w:rsid w:val="14627FE2"/>
    <w:rsid w:val="14717E92"/>
    <w:rsid w:val="14782FEA"/>
    <w:rsid w:val="147C10A3"/>
    <w:rsid w:val="14812B5E"/>
    <w:rsid w:val="148166BA"/>
    <w:rsid w:val="14887A48"/>
    <w:rsid w:val="14C32BB2"/>
    <w:rsid w:val="14C8078D"/>
    <w:rsid w:val="14DB04C0"/>
    <w:rsid w:val="14DF1632"/>
    <w:rsid w:val="14E32ED1"/>
    <w:rsid w:val="14E46C49"/>
    <w:rsid w:val="14E86739"/>
    <w:rsid w:val="14F0383F"/>
    <w:rsid w:val="14FE41AE"/>
    <w:rsid w:val="150A4D1B"/>
    <w:rsid w:val="15262717"/>
    <w:rsid w:val="153B0F5F"/>
    <w:rsid w:val="156264EB"/>
    <w:rsid w:val="15634011"/>
    <w:rsid w:val="15681628"/>
    <w:rsid w:val="15685C72"/>
    <w:rsid w:val="15694E32"/>
    <w:rsid w:val="156D6C3E"/>
    <w:rsid w:val="15747FCD"/>
    <w:rsid w:val="15785D0F"/>
    <w:rsid w:val="15787ABD"/>
    <w:rsid w:val="15842905"/>
    <w:rsid w:val="159266A5"/>
    <w:rsid w:val="1593009E"/>
    <w:rsid w:val="15995C85"/>
    <w:rsid w:val="15C54CCC"/>
    <w:rsid w:val="15EE2705"/>
    <w:rsid w:val="15F555B1"/>
    <w:rsid w:val="1608377A"/>
    <w:rsid w:val="161517B0"/>
    <w:rsid w:val="16161084"/>
    <w:rsid w:val="164E081E"/>
    <w:rsid w:val="16510C07"/>
    <w:rsid w:val="1662251B"/>
    <w:rsid w:val="169F376F"/>
    <w:rsid w:val="16A11295"/>
    <w:rsid w:val="16A82624"/>
    <w:rsid w:val="16AE5760"/>
    <w:rsid w:val="16B26FFE"/>
    <w:rsid w:val="16C240F4"/>
    <w:rsid w:val="16CA07EC"/>
    <w:rsid w:val="16D451C7"/>
    <w:rsid w:val="16E3365C"/>
    <w:rsid w:val="16ED1346"/>
    <w:rsid w:val="16FC471D"/>
    <w:rsid w:val="16FE790C"/>
    <w:rsid w:val="170068F6"/>
    <w:rsid w:val="17017250"/>
    <w:rsid w:val="17081314"/>
    <w:rsid w:val="171C4DC0"/>
    <w:rsid w:val="172F68A1"/>
    <w:rsid w:val="173E0892"/>
    <w:rsid w:val="175956CC"/>
    <w:rsid w:val="17602EFE"/>
    <w:rsid w:val="176302F9"/>
    <w:rsid w:val="178070FD"/>
    <w:rsid w:val="17822E75"/>
    <w:rsid w:val="179B1B52"/>
    <w:rsid w:val="179B7A92"/>
    <w:rsid w:val="17A34B99"/>
    <w:rsid w:val="17AD77C6"/>
    <w:rsid w:val="17B1375A"/>
    <w:rsid w:val="17B4186E"/>
    <w:rsid w:val="17E7717C"/>
    <w:rsid w:val="17F11DA8"/>
    <w:rsid w:val="17FA6EAF"/>
    <w:rsid w:val="1804388A"/>
    <w:rsid w:val="180C0990"/>
    <w:rsid w:val="18111C89"/>
    <w:rsid w:val="181A4FE3"/>
    <w:rsid w:val="181E2472"/>
    <w:rsid w:val="181E5C5C"/>
    <w:rsid w:val="18293FCC"/>
    <w:rsid w:val="183F12A7"/>
    <w:rsid w:val="186E33F9"/>
    <w:rsid w:val="187C3D68"/>
    <w:rsid w:val="1890511D"/>
    <w:rsid w:val="18972950"/>
    <w:rsid w:val="18980476"/>
    <w:rsid w:val="189A5F55"/>
    <w:rsid w:val="189B3AC2"/>
    <w:rsid w:val="189C2608"/>
    <w:rsid w:val="18A1557C"/>
    <w:rsid w:val="18AB1F57"/>
    <w:rsid w:val="18BB38C2"/>
    <w:rsid w:val="18BC67B6"/>
    <w:rsid w:val="18C66D91"/>
    <w:rsid w:val="18D23988"/>
    <w:rsid w:val="18D25736"/>
    <w:rsid w:val="18FE477D"/>
    <w:rsid w:val="191F4337"/>
    <w:rsid w:val="191F64A1"/>
    <w:rsid w:val="193C52A5"/>
    <w:rsid w:val="193D11DB"/>
    <w:rsid w:val="19406B43"/>
    <w:rsid w:val="19461C80"/>
    <w:rsid w:val="19510D51"/>
    <w:rsid w:val="19524AC9"/>
    <w:rsid w:val="19595E57"/>
    <w:rsid w:val="19810F0A"/>
    <w:rsid w:val="19835D6F"/>
    <w:rsid w:val="19B1359D"/>
    <w:rsid w:val="19C84D8B"/>
    <w:rsid w:val="19E2722D"/>
    <w:rsid w:val="19F618F8"/>
    <w:rsid w:val="1A02029D"/>
    <w:rsid w:val="1A1B40F9"/>
    <w:rsid w:val="1A475CB0"/>
    <w:rsid w:val="1A530AF8"/>
    <w:rsid w:val="1A58610F"/>
    <w:rsid w:val="1A5D54D3"/>
    <w:rsid w:val="1A676352"/>
    <w:rsid w:val="1A6D6A04"/>
    <w:rsid w:val="1A776364"/>
    <w:rsid w:val="1A7867B1"/>
    <w:rsid w:val="1A7A7E33"/>
    <w:rsid w:val="1A9609E5"/>
    <w:rsid w:val="1A9829AF"/>
    <w:rsid w:val="1A9D1D74"/>
    <w:rsid w:val="1A9F3D3E"/>
    <w:rsid w:val="1AB01AA7"/>
    <w:rsid w:val="1AB041DF"/>
    <w:rsid w:val="1AC031E1"/>
    <w:rsid w:val="1AC6751C"/>
    <w:rsid w:val="1ADD6614"/>
    <w:rsid w:val="1AE17550"/>
    <w:rsid w:val="1AE41750"/>
    <w:rsid w:val="1AF75928"/>
    <w:rsid w:val="1B213135"/>
    <w:rsid w:val="1B245FF1"/>
    <w:rsid w:val="1B2D4F21"/>
    <w:rsid w:val="1B375D24"/>
    <w:rsid w:val="1B3E5305"/>
    <w:rsid w:val="1B4F12C0"/>
    <w:rsid w:val="1B5D07D0"/>
    <w:rsid w:val="1B5E59A7"/>
    <w:rsid w:val="1B724FAE"/>
    <w:rsid w:val="1B7366BB"/>
    <w:rsid w:val="1B7B0307"/>
    <w:rsid w:val="1B917B2A"/>
    <w:rsid w:val="1BB76E65"/>
    <w:rsid w:val="1BCC0B62"/>
    <w:rsid w:val="1BE5541D"/>
    <w:rsid w:val="1BF9122C"/>
    <w:rsid w:val="1C026332"/>
    <w:rsid w:val="1C0C71B1"/>
    <w:rsid w:val="1C204A0A"/>
    <w:rsid w:val="1C27223D"/>
    <w:rsid w:val="1C2E35CB"/>
    <w:rsid w:val="1C2F7FBC"/>
    <w:rsid w:val="1C365FDC"/>
    <w:rsid w:val="1C3B1844"/>
    <w:rsid w:val="1C4B0644"/>
    <w:rsid w:val="1C4C75BF"/>
    <w:rsid w:val="1C4F709D"/>
    <w:rsid w:val="1C715266"/>
    <w:rsid w:val="1C784846"/>
    <w:rsid w:val="1C7F3E27"/>
    <w:rsid w:val="1C964CCC"/>
    <w:rsid w:val="1CB515F6"/>
    <w:rsid w:val="1CC96E50"/>
    <w:rsid w:val="1CCE26B8"/>
    <w:rsid w:val="1CD53A47"/>
    <w:rsid w:val="1CDD6D9F"/>
    <w:rsid w:val="1CE52038"/>
    <w:rsid w:val="1CED6FE2"/>
    <w:rsid w:val="1CF5405E"/>
    <w:rsid w:val="1D1F34C2"/>
    <w:rsid w:val="1D28001A"/>
    <w:rsid w:val="1D28626C"/>
    <w:rsid w:val="1D295B40"/>
    <w:rsid w:val="1D2E3157"/>
    <w:rsid w:val="1D3544E5"/>
    <w:rsid w:val="1D3E783E"/>
    <w:rsid w:val="1D3F7112"/>
    <w:rsid w:val="1D440BCC"/>
    <w:rsid w:val="1D444728"/>
    <w:rsid w:val="1D507571"/>
    <w:rsid w:val="1D61352C"/>
    <w:rsid w:val="1D756FD8"/>
    <w:rsid w:val="1D7F39B2"/>
    <w:rsid w:val="1D8D4321"/>
    <w:rsid w:val="1DB25B36"/>
    <w:rsid w:val="1DC563C2"/>
    <w:rsid w:val="1DEA3522"/>
    <w:rsid w:val="1DF83E91"/>
    <w:rsid w:val="1DFC3255"/>
    <w:rsid w:val="1E0345E3"/>
    <w:rsid w:val="1E0F4D36"/>
    <w:rsid w:val="1E4A3FC0"/>
    <w:rsid w:val="1E4B4B5A"/>
    <w:rsid w:val="1E567848"/>
    <w:rsid w:val="1E6D73A5"/>
    <w:rsid w:val="1E7B061E"/>
    <w:rsid w:val="1E7D7EF2"/>
    <w:rsid w:val="1E8223CA"/>
    <w:rsid w:val="1E827BFE"/>
    <w:rsid w:val="1E8E0351"/>
    <w:rsid w:val="1E957931"/>
    <w:rsid w:val="1EA01E32"/>
    <w:rsid w:val="1EA638ED"/>
    <w:rsid w:val="1EB37DB8"/>
    <w:rsid w:val="1EB63404"/>
    <w:rsid w:val="1ED8781E"/>
    <w:rsid w:val="1EDB2E6A"/>
    <w:rsid w:val="1EDD6BE3"/>
    <w:rsid w:val="1F0E1492"/>
    <w:rsid w:val="1F132604"/>
    <w:rsid w:val="1F2C36C6"/>
    <w:rsid w:val="1F3802BD"/>
    <w:rsid w:val="1F422EEA"/>
    <w:rsid w:val="1F494278"/>
    <w:rsid w:val="1F705CA9"/>
    <w:rsid w:val="1F8F25D3"/>
    <w:rsid w:val="1FAB6CE1"/>
    <w:rsid w:val="1FB45B95"/>
    <w:rsid w:val="1FB77D3E"/>
    <w:rsid w:val="1FBB33C8"/>
    <w:rsid w:val="1FC16504"/>
    <w:rsid w:val="1FD46237"/>
    <w:rsid w:val="1FDB38E4"/>
    <w:rsid w:val="1FDC6E9A"/>
    <w:rsid w:val="1FDF19B2"/>
    <w:rsid w:val="1FE50445"/>
    <w:rsid w:val="1FED72F9"/>
    <w:rsid w:val="1FF70178"/>
    <w:rsid w:val="1FF93EF0"/>
    <w:rsid w:val="200A50BC"/>
    <w:rsid w:val="201523AC"/>
    <w:rsid w:val="202645B9"/>
    <w:rsid w:val="202D5948"/>
    <w:rsid w:val="203171E6"/>
    <w:rsid w:val="204A02A8"/>
    <w:rsid w:val="204D5FEA"/>
    <w:rsid w:val="2055294B"/>
    <w:rsid w:val="205B24B5"/>
    <w:rsid w:val="205E01F7"/>
    <w:rsid w:val="20670E5A"/>
    <w:rsid w:val="20672C08"/>
    <w:rsid w:val="206C6470"/>
    <w:rsid w:val="20711CD8"/>
    <w:rsid w:val="20713A86"/>
    <w:rsid w:val="20745325"/>
    <w:rsid w:val="20887022"/>
    <w:rsid w:val="20895274"/>
    <w:rsid w:val="20902B53"/>
    <w:rsid w:val="20924B8D"/>
    <w:rsid w:val="20943C19"/>
    <w:rsid w:val="209A409B"/>
    <w:rsid w:val="20C718F8"/>
    <w:rsid w:val="20D14525"/>
    <w:rsid w:val="2100305C"/>
    <w:rsid w:val="21020B82"/>
    <w:rsid w:val="21042B4C"/>
    <w:rsid w:val="210963B5"/>
    <w:rsid w:val="210B3A03"/>
    <w:rsid w:val="212154AC"/>
    <w:rsid w:val="212C5BFF"/>
    <w:rsid w:val="212D20A3"/>
    <w:rsid w:val="214664AB"/>
    <w:rsid w:val="215D400B"/>
    <w:rsid w:val="215F5FD5"/>
    <w:rsid w:val="21690C01"/>
    <w:rsid w:val="216B6728"/>
    <w:rsid w:val="217C3104"/>
    <w:rsid w:val="217E2424"/>
    <w:rsid w:val="21871088"/>
    <w:rsid w:val="21894E00"/>
    <w:rsid w:val="218B6DCA"/>
    <w:rsid w:val="21985309"/>
    <w:rsid w:val="21A41C3A"/>
    <w:rsid w:val="21AD4F92"/>
    <w:rsid w:val="21B26104"/>
    <w:rsid w:val="21BD045C"/>
    <w:rsid w:val="21BE0F4D"/>
    <w:rsid w:val="21CB5418"/>
    <w:rsid w:val="21D97B35"/>
    <w:rsid w:val="21F4496F"/>
    <w:rsid w:val="21F47D7F"/>
    <w:rsid w:val="220821C8"/>
    <w:rsid w:val="220B5A2D"/>
    <w:rsid w:val="22146DBF"/>
    <w:rsid w:val="222266F7"/>
    <w:rsid w:val="22250889"/>
    <w:rsid w:val="223724A1"/>
    <w:rsid w:val="223B259E"/>
    <w:rsid w:val="223C00C4"/>
    <w:rsid w:val="22513B6F"/>
    <w:rsid w:val="226D4721"/>
    <w:rsid w:val="22804455"/>
    <w:rsid w:val="22853819"/>
    <w:rsid w:val="22B8599C"/>
    <w:rsid w:val="22BE4F7D"/>
    <w:rsid w:val="22E91B93"/>
    <w:rsid w:val="230C3F3A"/>
    <w:rsid w:val="230E1A60"/>
    <w:rsid w:val="230E7CB2"/>
    <w:rsid w:val="230F7587"/>
    <w:rsid w:val="231B23CF"/>
    <w:rsid w:val="232748D0"/>
    <w:rsid w:val="232C638A"/>
    <w:rsid w:val="23571659"/>
    <w:rsid w:val="235B27CC"/>
    <w:rsid w:val="23A128D5"/>
    <w:rsid w:val="23B24AE2"/>
    <w:rsid w:val="23BC326A"/>
    <w:rsid w:val="23BF004B"/>
    <w:rsid w:val="23C30A9D"/>
    <w:rsid w:val="23D20C89"/>
    <w:rsid w:val="23D36806"/>
    <w:rsid w:val="23DC1B5F"/>
    <w:rsid w:val="23DE59BA"/>
    <w:rsid w:val="23EB1DA2"/>
    <w:rsid w:val="24082954"/>
    <w:rsid w:val="240B5FA0"/>
    <w:rsid w:val="24264B88"/>
    <w:rsid w:val="2429086F"/>
    <w:rsid w:val="24303C58"/>
    <w:rsid w:val="24392B0D"/>
    <w:rsid w:val="244A4D1A"/>
    <w:rsid w:val="2452597D"/>
    <w:rsid w:val="245B6F27"/>
    <w:rsid w:val="24652C06"/>
    <w:rsid w:val="247955FF"/>
    <w:rsid w:val="247E49C4"/>
    <w:rsid w:val="249B7324"/>
    <w:rsid w:val="24A0493A"/>
    <w:rsid w:val="24A26136"/>
    <w:rsid w:val="24A26904"/>
    <w:rsid w:val="24A563F4"/>
    <w:rsid w:val="24B46637"/>
    <w:rsid w:val="24B959FC"/>
    <w:rsid w:val="24C7636B"/>
    <w:rsid w:val="24CA7C09"/>
    <w:rsid w:val="24D10F97"/>
    <w:rsid w:val="24D171E9"/>
    <w:rsid w:val="24F829C8"/>
    <w:rsid w:val="250273A3"/>
    <w:rsid w:val="2503258D"/>
    <w:rsid w:val="2504136D"/>
    <w:rsid w:val="250550E5"/>
    <w:rsid w:val="250F386E"/>
    <w:rsid w:val="251175E6"/>
    <w:rsid w:val="251B66B7"/>
    <w:rsid w:val="251E1D03"/>
    <w:rsid w:val="252235A1"/>
    <w:rsid w:val="25292B82"/>
    <w:rsid w:val="254554E2"/>
    <w:rsid w:val="255B5D6B"/>
    <w:rsid w:val="257C47D4"/>
    <w:rsid w:val="25A641D2"/>
    <w:rsid w:val="25BD776E"/>
    <w:rsid w:val="25E22D30"/>
    <w:rsid w:val="25E35426"/>
    <w:rsid w:val="25EC3BAF"/>
    <w:rsid w:val="25F74A2E"/>
    <w:rsid w:val="26103D41"/>
    <w:rsid w:val="26150BCA"/>
    <w:rsid w:val="26235823"/>
    <w:rsid w:val="2629095F"/>
    <w:rsid w:val="26325A66"/>
    <w:rsid w:val="263C68E5"/>
    <w:rsid w:val="265728A3"/>
    <w:rsid w:val="266100F9"/>
    <w:rsid w:val="2665408D"/>
    <w:rsid w:val="266A56CF"/>
    <w:rsid w:val="268963F7"/>
    <w:rsid w:val="26993E2E"/>
    <w:rsid w:val="26CD258B"/>
    <w:rsid w:val="26D60AE7"/>
    <w:rsid w:val="26E1123A"/>
    <w:rsid w:val="26E256DE"/>
    <w:rsid w:val="26E72CF4"/>
    <w:rsid w:val="26EB3E67"/>
    <w:rsid w:val="26F467C6"/>
    <w:rsid w:val="26F92A28"/>
    <w:rsid w:val="26FF43D5"/>
    <w:rsid w:val="27233601"/>
    <w:rsid w:val="27271343"/>
    <w:rsid w:val="272F1FA5"/>
    <w:rsid w:val="27410F67"/>
    <w:rsid w:val="274243CE"/>
    <w:rsid w:val="2770698B"/>
    <w:rsid w:val="277B343D"/>
    <w:rsid w:val="27840543"/>
    <w:rsid w:val="27955252"/>
    <w:rsid w:val="279B763B"/>
    <w:rsid w:val="27A6670B"/>
    <w:rsid w:val="27B1045A"/>
    <w:rsid w:val="27D25752"/>
    <w:rsid w:val="27DF1C1D"/>
    <w:rsid w:val="2802590C"/>
    <w:rsid w:val="28046B4F"/>
    <w:rsid w:val="28100029"/>
    <w:rsid w:val="28101DD7"/>
    <w:rsid w:val="28110526"/>
    <w:rsid w:val="28245882"/>
    <w:rsid w:val="283C7070"/>
    <w:rsid w:val="283E4B96"/>
    <w:rsid w:val="283F26BC"/>
    <w:rsid w:val="28416434"/>
    <w:rsid w:val="284657F9"/>
    <w:rsid w:val="284877C3"/>
    <w:rsid w:val="28575C58"/>
    <w:rsid w:val="28577A06"/>
    <w:rsid w:val="28610884"/>
    <w:rsid w:val="28665E9B"/>
    <w:rsid w:val="28757E8C"/>
    <w:rsid w:val="28795BCE"/>
    <w:rsid w:val="287C29F4"/>
    <w:rsid w:val="28900897"/>
    <w:rsid w:val="28996270"/>
    <w:rsid w:val="289B3D96"/>
    <w:rsid w:val="289C18BC"/>
    <w:rsid w:val="28A864B3"/>
    <w:rsid w:val="28C826B1"/>
    <w:rsid w:val="28CD011E"/>
    <w:rsid w:val="28D9666D"/>
    <w:rsid w:val="28F74D45"/>
    <w:rsid w:val="28FB2A87"/>
    <w:rsid w:val="28FB4835"/>
    <w:rsid w:val="290B259E"/>
    <w:rsid w:val="290D6C32"/>
    <w:rsid w:val="291601D6"/>
    <w:rsid w:val="2916341D"/>
    <w:rsid w:val="292518B2"/>
    <w:rsid w:val="293E4115"/>
    <w:rsid w:val="29422464"/>
    <w:rsid w:val="29520E00"/>
    <w:rsid w:val="295E23A1"/>
    <w:rsid w:val="295E3016"/>
    <w:rsid w:val="295E4DC4"/>
    <w:rsid w:val="29600B3C"/>
    <w:rsid w:val="29622B06"/>
    <w:rsid w:val="29714AF7"/>
    <w:rsid w:val="297665B1"/>
    <w:rsid w:val="297D524A"/>
    <w:rsid w:val="29824F56"/>
    <w:rsid w:val="298505A2"/>
    <w:rsid w:val="2985212C"/>
    <w:rsid w:val="299627B0"/>
    <w:rsid w:val="299802D6"/>
    <w:rsid w:val="29C06751"/>
    <w:rsid w:val="29DB4F66"/>
    <w:rsid w:val="29DD1CBD"/>
    <w:rsid w:val="29F01EC0"/>
    <w:rsid w:val="29FF6D9B"/>
    <w:rsid w:val="2A04596B"/>
    <w:rsid w:val="2A063491"/>
    <w:rsid w:val="2A1060BE"/>
    <w:rsid w:val="2A110088"/>
    <w:rsid w:val="2A225DF1"/>
    <w:rsid w:val="2A24600D"/>
    <w:rsid w:val="2A2711F4"/>
    <w:rsid w:val="2A351FC9"/>
    <w:rsid w:val="2A3837C2"/>
    <w:rsid w:val="2A465F84"/>
    <w:rsid w:val="2A50295E"/>
    <w:rsid w:val="2A522B7B"/>
    <w:rsid w:val="2A5D507B"/>
    <w:rsid w:val="2A691C72"/>
    <w:rsid w:val="2A790107"/>
    <w:rsid w:val="2A8909AE"/>
    <w:rsid w:val="2A9071FF"/>
    <w:rsid w:val="2A9C3DF6"/>
    <w:rsid w:val="2A9D36CA"/>
    <w:rsid w:val="2A9E7B6E"/>
    <w:rsid w:val="2AA8279A"/>
    <w:rsid w:val="2AB40FBA"/>
    <w:rsid w:val="2ABE4C3D"/>
    <w:rsid w:val="2AC5334C"/>
    <w:rsid w:val="2ACA2711"/>
    <w:rsid w:val="2ADC41F2"/>
    <w:rsid w:val="2AE61515"/>
    <w:rsid w:val="2AED4651"/>
    <w:rsid w:val="2AEF2177"/>
    <w:rsid w:val="2B006133"/>
    <w:rsid w:val="2B02634F"/>
    <w:rsid w:val="2B193698"/>
    <w:rsid w:val="2B1A4D1A"/>
    <w:rsid w:val="2B1E2A5D"/>
    <w:rsid w:val="2B2C33CC"/>
    <w:rsid w:val="2B4029D3"/>
    <w:rsid w:val="2B430715"/>
    <w:rsid w:val="2B485D2C"/>
    <w:rsid w:val="2B4B13BE"/>
    <w:rsid w:val="2B5B780D"/>
    <w:rsid w:val="2B6366C1"/>
    <w:rsid w:val="2B6E0635"/>
    <w:rsid w:val="2B717030"/>
    <w:rsid w:val="2B7D59D5"/>
    <w:rsid w:val="2BBB02AC"/>
    <w:rsid w:val="2BC96E6C"/>
    <w:rsid w:val="2BFB2D9E"/>
    <w:rsid w:val="2C053AEE"/>
    <w:rsid w:val="2C077995"/>
    <w:rsid w:val="2C0C6D59"/>
    <w:rsid w:val="2C132BB5"/>
    <w:rsid w:val="2C155C0E"/>
    <w:rsid w:val="2C22657D"/>
    <w:rsid w:val="2C29790B"/>
    <w:rsid w:val="2C2C069D"/>
    <w:rsid w:val="2C2C4CD0"/>
    <w:rsid w:val="2C4E7372"/>
    <w:rsid w:val="2C5A5D16"/>
    <w:rsid w:val="2C5F31FE"/>
    <w:rsid w:val="2C6941AB"/>
    <w:rsid w:val="2C732934"/>
    <w:rsid w:val="2C7A3CC3"/>
    <w:rsid w:val="2C7C7A3B"/>
    <w:rsid w:val="2C83526D"/>
    <w:rsid w:val="2C9F5E1F"/>
    <w:rsid w:val="2CA67F3B"/>
    <w:rsid w:val="2CAA3B82"/>
    <w:rsid w:val="2CBA592E"/>
    <w:rsid w:val="2CBC252D"/>
    <w:rsid w:val="2CC55886"/>
    <w:rsid w:val="2CCB2770"/>
    <w:rsid w:val="2CE61358"/>
    <w:rsid w:val="2CE675AA"/>
    <w:rsid w:val="2CE876D0"/>
    <w:rsid w:val="2D020066"/>
    <w:rsid w:val="2D052EB7"/>
    <w:rsid w:val="2D1B36F8"/>
    <w:rsid w:val="2D4367AA"/>
    <w:rsid w:val="2D454468"/>
    <w:rsid w:val="2D485B6F"/>
    <w:rsid w:val="2D5E35E4"/>
    <w:rsid w:val="2D6D7CCB"/>
    <w:rsid w:val="2D7479D0"/>
    <w:rsid w:val="2D796670"/>
    <w:rsid w:val="2D8114FB"/>
    <w:rsid w:val="2D8838FB"/>
    <w:rsid w:val="2D940DB4"/>
    <w:rsid w:val="2D9B2143"/>
    <w:rsid w:val="2DA82AB1"/>
    <w:rsid w:val="2DAA0ED1"/>
    <w:rsid w:val="2DC0604D"/>
    <w:rsid w:val="2DD613CD"/>
    <w:rsid w:val="2DDD09AD"/>
    <w:rsid w:val="2DE27D71"/>
    <w:rsid w:val="2DF14458"/>
    <w:rsid w:val="2DFE26D1"/>
    <w:rsid w:val="2E051CB2"/>
    <w:rsid w:val="2E114AFB"/>
    <w:rsid w:val="2E1819E5"/>
    <w:rsid w:val="2E2C723F"/>
    <w:rsid w:val="2E3F0AB4"/>
    <w:rsid w:val="2E5D3DBC"/>
    <w:rsid w:val="2E620EB2"/>
    <w:rsid w:val="2E6D7F83"/>
    <w:rsid w:val="2E734E6D"/>
    <w:rsid w:val="2E786928"/>
    <w:rsid w:val="2E9A0632"/>
    <w:rsid w:val="2E9D013C"/>
    <w:rsid w:val="2E9D638E"/>
    <w:rsid w:val="2EA339A5"/>
    <w:rsid w:val="2EAD4823"/>
    <w:rsid w:val="2EC658E5"/>
    <w:rsid w:val="2EDA6661"/>
    <w:rsid w:val="2EEE2BF6"/>
    <w:rsid w:val="2F0106CB"/>
    <w:rsid w:val="2F176141"/>
    <w:rsid w:val="2F204FF5"/>
    <w:rsid w:val="2F364819"/>
    <w:rsid w:val="2F3A3BDD"/>
    <w:rsid w:val="2F505F7A"/>
    <w:rsid w:val="2F671B2F"/>
    <w:rsid w:val="2F6A001E"/>
    <w:rsid w:val="2F880DEC"/>
    <w:rsid w:val="2F950E14"/>
    <w:rsid w:val="2FAF0127"/>
    <w:rsid w:val="2FB5399F"/>
    <w:rsid w:val="2FB63264"/>
    <w:rsid w:val="2FBB5EAE"/>
    <w:rsid w:val="2FD656B4"/>
    <w:rsid w:val="2FE04785"/>
    <w:rsid w:val="2FE51D9B"/>
    <w:rsid w:val="2FE853E7"/>
    <w:rsid w:val="2FFE1B7A"/>
    <w:rsid w:val="30045A3B"/>
    <w:rsid w:val="30185CCC"/>
    <w:rsid w:val="301B3A0F"/>
    <w:rsid w:val="30314FE0"/>
    <w:rsid w:val="304E16EE"/>
    <w:rsid w:val="305A62E5"/>
    <w:rsid w:val="308E2433"/>
    <w:rsid w:val="309B06AC"/>
    <w:rsid w:val="30AE4883"/>
    <w:rsid w:val="30BB0FB2"/>
    <w:rsid w:val="30C71C5F"/>
    <w:rsid w:val="30C96FC7"/>
    <w:rsid w:val="30DB6CFA"/>
    <w:rsid w:val="30E6401D"/>
    <w:rsid w:val="30E958BB"/>
    <w:rsid w:val="30F12588"/>
    <w:rsid w:val="30F54260"/>
    <w:rsid w:val="310444A3"/>
    <w:rsid w:val="3112096E"/>
    <w:rsid w:val="31280940"/>
    <w:rsid w:val="31295CB7"/>
    <w:rsid w:val="313528AE"/>
    <w:rsid w:val="313E5C07"/>
    <w:rsid w:val="31905D36"/>
    <w:rsid w:val="319E48F7"/>
    <w:rsid w:val="31BC6B2B"/>
    <w:rsid w:val="31DC0C2F"/>
    <w:rsid w:val="31E06CBE"/>
    <w:rsid w:val="31E71DFA"/>
    <w:rsid w:val="31FB7654"/>
    <w:rsid w:val="320329AC"/>
    <w:rsid w:val="32036508"/>
    <w:rsid w:val="320F1351"/>
    <w:rsid w:val="32144BB9"/>
    <w:rsid w:val="32195D2C"/>
    <w:rsid w:val="321B1AA4"/>
    <w:rsid w:val="32221084"/>
    <w:rsid w:val="322546D1"/>
    <w:rsid w:val="322F72FD"/>
    <w:rsid w:val="323E5792"/>
    <w:rsid w:val="324C4353"/>
    <w:rsid w:val="32560D2E"/>
    <w:rsid w:val="325946B1"/>
    <w:rsid w:val="3260395B"/>
    <w:rsid w:val="326F1DF0"/>
    <w:rsid w:val="328C0BF4"/>
    <w:rsid w:val="32912953"/>
    <w:rsid w:val="32963820"/>
    <w:rsid w:val="32A47CEB"/>
    <w:rsid w:val="32B31CDC"/>
    <w:rsid w:val="33095248"/>
    <w:rsid w:val="33273069"/>
    <w:rsid w:val="3330157F"/>
    <w:rsid w:val="333170A5"/>
    <w:rsid w:val="333746BC"/>
    <w:rsid w:val="333E1EEE"/>
    <w:rsid w:val="33482D6D"/>
    <w:rsid w:val="33525999"/>
    <w:rsid w:val="335A0A8F"/>
    <w:rsid w:val="33680D19"/>
    <w:rsid w:val="336851BD"/>
    <w:rsid w:val="337C2A16"/>
    <w:rsid w:val="33A53D1B"/>
    <w:rsid w:val="33A83BAC"/>
    <w:rsid w:val="33A855B9"/>
    <w:rsid w:val="33B45D0C"/>
    <w:rsid w:val="33CD2241"/>
    <w:rsid w:val="33D04B10"/>
    <w:rsid w:val="33DF01AE"/>
    <w:rsid w:val="33E660E2"/>
    <w:rsid w:val="33F86541"/>
    <w:rsid w:val="34000F51"/>
    <w:rsid w:val="34014485"/>
    <w:rsid w:val="340842AA"/>
    <w:rsid w:val="341669C7"/>
    <w:rsid w:val="342310E4"/>
    <w:rsid w:val="34313801"/>
    <w:rsid w:val="3437693D"/>
    <w:rsid w:val="344277BC"/>
    <w:rsid w:val="34563E84"/>
    <w:rsid w:val="34655258"/>
    <w:rsid w:val="34B41D3C"/>
    <w:rsid w:val="34C24459"/>
    <w:rsid w:val="34CE05D4"/>
    <w:rsid w:val="34CE54F3"/>
    <w:rsid w:val="34E268A9"/>
    <w:rsid w:val="34F211E2"/>
    <w:rsid w:val="34F226A3"/>
    <w:rsid w:val="35064C8D"/>
    <w:rsid w:val="351153E0"/>
    <w:rsid w:val="351A4295"/>
    <w:rsid w:val="351D5B33"/>
    <w:rsid w:val="35246EC1"/>
    <w:rsid w:val="352E7D40"/>
    <w:rsid w:val="3546508A"/>
    <w:rsid w:val="35505F08"/>
    <w:rsid w:val="355A0B35"/>
    <w:rsid w:val="35683252"/>
    <w:rsid w:val="3575596F"/>
    <w:rsid w:val="35843E04"/>
    <w:rsid w:val="35C771FF"/>
    <w:rsid w:val="35D22DC1"/>
    <w:rsid w:val="35DE3514"/>
    <w:rsid w:val="35F1149A"/>
    <w:rsid w:val="35F40F8A"/>
    <w:rsid w:val="35F50D12"/>
    <w:rsid w:val="36001C3A"/>
    <w:rsid w:val="36050AA1"/>
    <w:rsid w:val="360867E3"/>
    <w:rsid w:val="360D3DFA"/>
    <w:rsid w:val="362178A5"/>
    <w:rsid w:val="36370AC5"/>
    <w:rsid w:val="366652B8"/>
    <w:rsid w:val="36714EEA"/>
    <w:rsid w:val="367B6FB5"/>
    <w:rsid w:val="36910587"/>
    <w:rsid w:val="369B31B3"/>
    <w:rsid w:val="369C290D"/>
    <w:rsid w:val="36AB2033"/>
    <w:rsid w:val="36B81FB7"/>
    <w:rsid w:val="36D13079"/>
    <w:rsid w:val="36D861B6"/>
    <w:rsid w:val="36E27034"/>
    <w:rsid w:val="370074BA"/>
    <w:rsid w:val="37060F75"/>
    <w:rsid w:val="3715740A"/>
    <w:rsid w:val="37160A8C"/>
    <w:rsid w:val="37224F7B"/>
    <w:rsid w:val="37424565"/>
    <w:rsid w:val="37503F9E"/>
    <w:rsid w:val="37537F32"/>
    <w:rsid w:val="377203B8"/>
    <w:rsid w:val="37863E63"/>
    <w:rsid w:val="378B147A"/>
    <w:rsid w:val="379245B6"/>
    <w:rsid w:val="379A790F"/>
    <w:rsid w:val="37AD7387"/>
    <w:rsid w:val="37B3452D"/>
    <w:rsid w:val="37B87D95"/>
    <w:rsid w:val="37BC7885"/>
    <w:rsid w:val="37C14E9C"/>
    <w:rsid w:val="37C404E8"/>
    <w:rsid w:val="37D41ABC"/>
    <w:rsid w:val="37E64902"/>
    <w:rsid w:val="37FA215C"/>
    <w:rsid w:val="37FE7E9E"/>
    <w:rsid w:val="38080D1C"/>
    <w:rsid w:val="380F3E59"/>
    <w:rsid w:val="3814146F"/>
    <w:rsid w:val="38341B11"/>
    <w:rsid w:val="38402264"/>
    <w:rsid w:val="38404012"/>
    <w:rsid w:val="38477E80"/>
    <w:rsid w:val="3858424D"/>
    <w:rsid w:val="38602269"/>
    <w:rsid w:val="386677F1"/>
    <w:rsid w:val="38691D8A"/>
    <w:rsid w:val="387E4B3B"/>
    <w:rsid w:val="3888607F"/>
    <w:rsid w:val="388A7983"/>
    <w:rsid w:val="38995E18"/>
    <w:rsid w:val="389C3213"/>
    <w:rsid w:val="389D1465"/>
    <w:rsid w:val="38B16CBE"/>
    <w:rsid w:val="38B22A36"/>
    <w:rsid w:val="38B93DC5"/>
    <w:rsid w:val="38BE13DB"/>
    <w:rsid w:val="38C8225A"/>
    <w:rsid w:val="38D46E50"/>
    <w:rsid w:val="38DB1F8D"/>
    <w:rsid w:val="38F848ED"/>
    <w:rsid w:val="390239BE"/>
    <w:rsid w:val="39096AFA"/>
    <w:rsid w:val="391060DB"/>
    <w:rsid w:val="395A1067"/>
    <w:rsid w:val="395F671A"/>
    <w:rsid w:val="39633163"/>
    <w:rsid w:val="3995213C"/>
    <w:rsid w:val="39AB6D88"/>
    <w:rsid w:val="39AD2B38"/>
    <w:rsid w:val="39DF5AAD"/>
    <w:rsid w:val="39E66E3B"/>
    <w:rsid w:val="39EB4452"/>
    <w:rsid w:val="3A15327D"/>
    <w:rsid w:val="3A1950AA"/>
    <w:rsid w:val="3A1C0AAF"/>
    <w:rsid w:val="3A27446B"/>
    <w:rsid w:val="3A281202"/>
    <w:rsid w:val="3A611DE7"/>
    <w:rsid w:val="3A697F17"/>
    <w:rsid w:val="3A72247D"/>
    <w:rsid w:val="3A7A7584"/>
    <w:rsid w:val="3A7C154E"/>
    <w:rsid w:val="3A7E52C6"/>
    <w:rsid w:val="3A900B55"/>
    <w:rsid w:val="3A922B1F"/>
    <w:rsid w:val="3AB46F3A"/>
    <w:rsid w:val="3AD153F6"/>
    <w:rsid w:val="3AD75A2E"/>
    <w:rsid w:val="3AE0388B"/>
    <w:rsid w:val="3AE813A4"/>
    <w:rsid w:val="3AFB2473"/>
    <w:rsid w:val="3B2319C9"/>
    <w:rsid w:val="3B2F036E"/>
    <w:rsid w:val="3B49275E"/>
    <w:rsid w:val="3B64270E"/>
    <w:rsid w:val="3B660234"/>
    <w:rsid w:val="3B73251E"/>
    <w:rsid w:val="3B783AC3"/>
    <w:rsid w:val="3B9D352A"/>
    <w:rsid w:val="3BB024C0"/>
    <w:rsid w:val="3BB6283D"/>
    <w:rsid w:val="3BBF5B96"/>
    <w:rsid w:val="3BC62A80"/>
    <w:rsid w:val="3BCB62E9"/>
    <w:rsid w:val="3BD038FF"/>
    <w:rsid w:val="3BE61375"/>
    <w:rsid w:val="3BE63123"/>
    <w:rsid w:val="3BF770DE"/>
    <w:rsid w:val="3BFF2436"/>
    <w:rsid w:val="3C1F4887"/>
    <w:rsid w:val="3C221C81"/>
    <w:rsid w:val="3C30439E"/>
    <w:rsid w:val="3C53290C"/>
    <w:rsid w:val="3C681DB0"/>
    <w:rsid w:val="3C836BC3"/>
    <w:rsid w:val="3CB7061B"/>
    <w:rsid w:val="3CCA034E"/>
    <w:rsid w:val="3CEA032C"/>
    <w:rsid w:val="3CEC4769"/>
    <w:rsid w:val="3CF4186F"/>
    <w:rsid w:val="3CFB0E50"/>
    <w:rsid w:val="3D232155"/>
    <w:rsid w:val="3D347EBE"/>
    <w:rsid w:val="3D3C05D3"/>
    <w:rsid w:val="3D406863"/>
    <w:rsid w:val="3D461658"/>
    <w:rsid w:val="3D4E3B0C"/>
    <w:rsid w:val="3D5347E8"/>
    <w:rsid w:val="3D583BAC"/>
    <w:rsid w:val="3D672041"/>
    <w:rsid w:val="3D6E0C3B"/>
    <w:rsid w:val="3D8C7CFA"/>
    <w:rsid w:val="3D9C1FB5"/>
    <w:rsid w:val="3D9F7A2D"/>
    <w:rsid w:val="3DA46DF1"/>
    <w:rsid w:val="3DA908AC"/>
    <w:rsid w:val="3DB75946"/>
    <w:rsid w:val="3DB86D41"/>
    <w:rsid w:val="3DBA6615"/>
    <w:rsid w:val="3DCC00F6"/>
    <w:rsid w:val="3DD1570D"/>
    <w:rsid w:val="3DD505A6"/>
    <w:rsid w:val="3DD84CED"/>
    <w:rsid w:val="3DDA6CB7"/>
    <w:rsid w:val="3DF5764D"/>
    <w:rsid w:val="3DF77869"/>
    <w:rsid w:val="3DFC4E7F"/>
    <w:rsid w:val="3E0E070F"/>
    <w:rsid w:val="3E104E1F"/>
    <w:rsid w:val="3E1321C9"/>
    <w:rsid w:val="3E133F77"/>
    <w:rsid w:val="3E295549"/>
    <w:rsid w:val="3E2C5790"/>
    <w:rsid w:val="3E3E7246"/>
    <w:rsid w:val="3E44668D"/>
    <w:rsid w:val="3E4B1963"/>
    <w:rsid w:val="3E4F6613"/>
    <w:rsid w:val="3E52684D"/>
    <w:rsid w:val="3E546A69"/>
    <w:rsid w:val="3E5E1696"/>
    <w:rsid w:val="3E6622F9"/>
    <w:rsid w:val="3E682515"/>
    <w:rsid w:val="3E6A528B"/>
    <w:rsid w:val="3E86299B"/>
    <w:rsid w:val="3E917C34"/>
    <w:rsid w:val="3EA177D5"/>
    <w:rsid w:val="3EA6303D"/>
    <w:rsid w:val="3EBC016B"/>
    <w:rsid w:val="3EDC080D"/>
    <w:rsid w:val="3EEA09C3"/>
    <w:rsid w:val="3EEA117C"/>
    <w:rsid w:val="3EEF6792"/>
    <w:rsid w:val="3EF26D09"/>
    <w:rsid w:val="3EF73899"/>
    <w:rsid w:val="3EF913BF"/>
    <w:rsid w:val="3F12422F"/>
    <w:rsid w:val="3F214472"/>
    <w:rsid w:val="3F2D72BA"/>
    <w:rsid w:val="3F32667F"/>
    <w:rsid w:val="3F4C14EF"/>
    <w:rsid w:val="3F4F7231"/>
    <w:rsid w:val="3F5D7BA0"/>
    <w:rsid w:val="3F6727CC"/>
    <w:rsid w:val="3F744EE9"/>
    <w:rsid w:val="3F792D8E"/>
    <w:rsid w:val="3F830EE2"/>
    <w:rsid w:val="3F8B6671"/>
    <w:rsid w:val="3F982986"/>
    <w:rsid w:val="3FAA26B9"/>
    <w:rsid w:val="3FAE3F57"/>
    <w:rsid w:val="3FB11C9A"/>
    <w:rsid w:val="3FB3156E"/>
    <w:rsid w:val="3FB377C0"/>
    <w:rsid w:val="3FB452E6"/>
    <w:rsid w:val="3FC7326B"/>
    <w:rsid w:val="3FC92B3F"/>
    <w:rsid w:val="3FF04570"/>
    <w:rsid w:val="4006669B"/>
    <w:rsid w:val="401D732F"/>
    <w:rsid w:val="401F09B1"/>
    <w:rsid w:val="403C5A07"/>
    <w:rsid w:val="403F042B"/>
    <w:rsid w:val="40436D96"/>
    <w:rsid w:val="40451349"/>
    <w:rsid w:val="407707ED"/>
    <w:rsid w:val="40786313"/>
    <w:rsid w:val="40844CB8"/>
    <w:rsid w:val="40866C82"/>
    <w:rsid w:val="409F1AF2"/>
    <w:rsid w:val="40B557B9"/>
    <w:rsid w:val="40B7508E"/>
    <w:rsid w:val="40BC08F6"/>
    <w:rsid w:val="40BC6B48"/>
    <w:rsid w:val="40D21EC7"/>
    <w:rsid w:val="40ED32DF"/>
    <w:rsid w:val="40EE65D6"/>
    <w:rsid w:val="40EF2A79"/>
    <w:rsid w:val="40FC6F44"/>
    <w:rsid w:val="41057CDB"/>
    <w:rsid w:val="410D4CAE"/>
    <w:rsid w:val="41140732"/>
    <w:rsid w:val="411C3143"/>
    <w:rsid w:val="41377F7D"/>
    <w:rsid w:val="413B7A6D"/>
    <w:rsid w:val="414D77A0"/>
    <w:rsid w:val="41597EF3"/>
    <w:rsid w:val="41656898"/>
    <w:rsid w:val="416845DA"/>
    <w:rsid w:val="416F3BBA"/>
    <w:rsid w:val="41760FFC"/>
    <w:rsid w:val="41AC096A"/>
    <w:rsid w:val="41B45A71"/>
    <w:rsid w:val="41BB2BB0"/>
    <w:rsid w:val="41CE268F"/>
    <w:rsid w:val="41CE6B33"/>
    <w:rsid w:val="41E77BF5"/>
    <w:rsid w:val="41FA16D6"/>
    <w:rsid w:val="420A6208"/>
    <w:rsid w:val="420F499E"/>
    <w:rsid w:val="420F4A55"/>
    <w:rsid w:val="42162288"/>
    <w:rsid w:val="421B7C1E"/>
    <w:rsid w:val="421D3616"/>
    <w:rsid w:val="421D6850"/>
    <w:rsid w:val="421F2EEA"/>
    <w:rsid w:val="421F4DB2"/>
    <w:rsid w:val="423170C2"/>
    <w:rsid w:val="424264A7"/>
    <w:rsid w:val="42486D0C"/>
    <w:rsid w:val="42521512"/>
    <w:rsid w:val="42532077"/>
    <w:rsid w:val="4258464E"/>
    <w:rsid w:val="42672AE3"/>
    <w:rsid w:val="426E5C20"/>
    <w:rsid w:val="42755200"/>
    <w:rsid w:val="42787749"/>
    <w:rsid w:val="42843695"/>
    <w:rsid w:val="42AD499A"/>
    <w:rsid w:val="42B71375"/>
    <w:rsid w:val="42BA2C13"/>
    <w:rsid w:val="42C57F36"/>
    <w:rsid w:val="42EB2DA0"/>
    <w:rsid w:val="42ED4D97"/>
    <w:rsid w:val="42F37843"/>
    <w:rsid w:val="430D3C5F"/>
    <w:rsid w:val="431A1904"/>
    <w:rsid w:val="43284021"/>
    <w:rsid w:val="43340C18"/>
    <w:rsid w:val="43565DA6"/>
    <w:rsid w:val="43615785"/>
    <w:rsid w:val="43635059"/>
    <w:rsid w:val="43762035"/>
    <w:rsid w:val="439714AA"/>
    <w:rsid w:val="439B2A45"/>
    <w:rsid w:val="43A0005B"/>
    <w:rsid w:val="43A35D9D"/>
    <w:rsid w:val="43A85162"/>
    <w:rsid w:val="43AA2C88"/>
    <w:rsid w:val="43FF1225"/>
    <w:rsid w:val="44054362"/>
    <w:rsid w:val="44110F59"/>
    <w:rsid w:val="441F5424"/>
    <w:rsid w:val="44252CD1"/>
    <w:rsid w:val="442944F4"/>
    <w:rsid w:val="443B7D84"/>
    <w:rsid w:val="44421112"/>
    <w:rsid w:val="445D419E"/>
    <w:rsid w:val="4473751E"/>
    <w:rsid w:val="44817E8C"/>
    <w:rsid w:val="448D669E"/>
    <w:rsid w:val="449556E6"/>
    <w:rsid w:val="44A92F3F"/>
    <w:rsid w:val="44AD0C81"/>
    <w:rsid w:val="44B10046"/>
    <w:rsid w:val="44B85878"/>
    <w:rsid w:val="44BC7116"/>
    <w:rsid w:val="44E126D9"/>
    <w:rsid w:val="44E328F5"/>
    <w:rsid w:val="44EB464B"/>
    <w:rsid w:val="44FC5765"/>
    <w:rsid w:val="450665E4"/>
    <w:rsid w:val="45101210"/>
    <w:rsid w:val="452934B1"/>
    <w:rsid w:val="454964D0"/>
    <w:rsid w:val="45513433"/>
    <w:rsid w:val="45555D50"/>
    <w:rsid w:val="45561319"/>
    <w:rsid w:val="4557299B"/>
    <w:rsid w:val="455E1F7C"/>
    <w:rsid w:val="45815C6A"/>
    <w:rsid w:val="45830DCE"/>
    <w:rsid w:val="45835E86"/>
    <w:rsid w:val="45877724"/>
    <w:rsid w:val="45921C25"/>
    <w:rsid w:val="459B0CB0"/>
    <w:rsid w:val="459C4852"/>
    <w:rsid w:val="45A831F7"/>
    <w:rsid w:val="45B222C8"/>
    <w:rsid w:val="45BB117C"/>
    <w:rsid w:val="45D3296A"/>
    <w:rsid w:val="45D36751"/>
    <w:rsid w:val="45D67D64"/>
    <w:rsid w:val="45E00BE3"/>
    <w:rsid w:val="45E5444B"/>
    <w:rsid w:val="45E85CE9"/>
    <w:rsid w:val="460D47A6"/>
    <w:rsid w:val="46162856"/>
    <w:rsid w:val="461B1C1B"/>
    <w:rsid w:val="461B604B"/>
    <w:rsid w:val="462431C5"/>
    <w:rsid w:val="46395011"/>
    <w:rsid w:val="464473C4"/>
    <w:rsid w:val="465F11AB"/>
    <w:rsid w:val="4665733A"/>
    <w:rsid w:val="46690BD8"/>
    <w:rsid w:val="467F03FC"/>
    <w:rsid w:val="46957C1F"/>
    <w:rsid w:val="46B8390E"/>
    <w:rsid w:val="46C027C2"/>
    <w:rsid w:val="46D06EA9"/>
    <w:rsid w:val="46F56910"/>
    <w:rsid w:val="47094169"/>
    <w:rsid w:val="47152B0E"/>
    <w:rsid w:val="47213261"/>
    <w:rsid w:val="472467E8"/>
    <w:rsid w:val="47354F5E"/>
    <w:rsid w:val="473E02B7"/>
    <w:rsid w:val="474651A4"/>
    <w:rsid w:val="475278BE"/>
    <w:rsid w:val="47631ACB"/>
    <w:rsid w:val="4794142D"/>
    <w:rsid w:val="47953C4F"/>
    <w:rsid w:val="47A876DF"/>
    <w:rsid w:val="47B448F0"/>
    <w:rsid w:val="47B9793D"/>
    <w:rsid w:val="47BC0824"/>
    <w:rsid w:val="47BC742D"/>
    <w:rsid w:val="47C105D2"/>
    <w:rsid w:val="47D06A35"/>
    <w:rsid w:val="47D227AD"/>
    <w:rsid w:val="47D604EF"/>
    <w:rsid w:val="47E26E94"/>
    <w:rsid w:val="47FB7F56"/>
    <w:rsid w:val="47FF7530"/>
    <w:rsid w:val="48007DC3"/>
    <w:rsid w:val="48084421"/>
    <w:rsid w:val="480E5EDB"/>
    <w:rsid w:val="480F755D"/>
    <w:rsid w:val="48142DC6"/>
    <w:rsid w:val="4828061F"/>
    <w:rsid w:val="482A4397"/>
    <w:rsid w:val="48454CA2"/>
    <w:rsid w:val="48457423"/>
    <w:rsid w:val="4867383D"/>
    <w:rsid w:val="486D24D6"/>
    <w:rsid w:val="487A531F"/>
    <w:rsid w:val="488564FF"/>
    <w:rsid w:val="48904B42"/>
    <w:rsid w:val="489108BA"/>
    <w:rsid w:val="48BF5427"/>
    <w:rsid w:val="48C20A74"/>
    <w:rsid w:val="48C26CC5"/>
    <w:rsid w:val="48C90054"/>
    <w:rsid w:val="48CE0B8B"/>
    <w:rsid w:val="48D6451F"/>
    <w:rsid w:val="48E21116"/>
    <w:rsid w:val="48E46C3C"/>
    <w:rsid w:val="48F0738F"/>
    <w:rsid w:val="49042E3A"/>
    <w:rsid w:val="49080B7C"/>
    <w:rsid w:val="490B241B"/>
    <w:rsid w:val="49144504"/>
    <w:rsid w:val="491C4628"/>
    <w:rsid w:val="491F5EC6"/>
    <w:rsid w:val="4923592A"/>
    <w:rsid w:val="492C413F"/>
    <w:rsid w:val="495A6EFE"/>
    <w:rsid w:val="49667651"/>
    <w:rsid w:val="498875C7"/>
    <w:rsid w:val="49906437"/>
    <w:rsid w:val="49B22896"/>
    <w:rsid w:val="49BC3715"/>
    <w:rsid w:val="49D40A5E"/>
    <w:rsid w:val="49DE368B"/>
    <w:rsid w:val="49EE57D7"/>
    <w:rsid w:val="49F17862"/>
    <w:rsid w:val="4A001853"/>
    <w:rsid w:val="4A0A26D2"/>
    <w:rsid w:val="4A0C644A"/>
    <w:rsid w:val="4A2A68D0"/>
    <w:rsid w:val="4A421E6C"/>
    <w:rsid w:val="4A4831FA"/>
    <w:rsid w:val="4A4C4A99"/>
    <w:rsid w:val="4A4F6337"/>
    <w:rsid w:val="4A5B4CDC"/>
    <w:rsid w:val="4A68428B"/>
    <w:rsid w:val="4A6F2535"/>
    <w:rsid w:val="4A77763C"/>
    <w:rsid w:val="4A9B332A"/>
    <w:rsid w:val="4AAA17BF"/>
    <w:rsid w:val="4AB65DA0"/>
    <w:rsid w:val="4AB72DA4"/>
    <w:rsid w:val="4AB80380"/>
    <w:rsid w:val="4ABB7FFA"/>
    <w:rsid w:val="4ABF34BD"/>
    <w:rsid w:val="4AD55B10"/>
    <w:rsid w:val="4AD73FE7"/>
    <w:rsid w:val="4AF877A5"/>
    <w:rsid w:val="4AFB1B32"/>
    <w:rsid w:val="4B032666"/>
    <w:rsid w:val="4B166E55"/>
    <w:rsid w:val="4B177151"/>
    <w:rsid w:val="4B217CD3"/>
    <w:rsid w:val="4B2E0642"/>
    <w:rsid w:val="4B4B4D50"/>
    <w:rsid w:val="4B5856BF"/>
    <w:rsid w:val="4B6202EC"/>
    <w:rsid w:val="4B661B8A"/>
    <w:rsid w:val="4B685902"/>
    <w:rsid w:val="4B794C10"/>
    <w:rsid w:val="4B83273C"/>
    <w:rsid w:val="4B840262"/>
    <w:rsid w:val="4B92472D"/>
    <w:rsid w:val="4BAD08D1"/>
    <w:rsid w:val="4BB13960"/>
    <w:rsid w:val="4BB5666E"/>
    <w:rsid w:val="4BB943B0"/>
    <w:rsid w:val="4BC7068A"/>
    <w:rsid w:val="4BC93EC7"/>
    <w:rsid w:val="4BCB5E91"/>
    <w:rsid w:val="4BE8259F"/>
    <w:rsid w:val="4BEF7DD1"/>
    <w:rsid w:val="4C003D8D"/>
    <w:rsid w:val="4C2D4456"/>
    <w:rsid w:val="4C2F6420"/>
    <w:rsid w:val="4C371778"/>
    <w:rsid w:val="4C3954F1"/>
    <w:rsid w:val="4C46376A"/>
    <w:rsid w:val="4C52210E"/>
    <w:rsid w:val="4C681932"/>
    <w:rsid w:val="4C6A56AA"/>
    <w:rsid w:val="4C6B4F7E"/>
    <w:rsid w:val="4C820C46"/>
    <w:rsid w:val="4CC823D1"/>
    <w:rsid w:val="4CD314A1"/>
    <w:rsid w:val="4CDB0356"/>
    <w:rsid w:val="4CEF5BAF"/>
    <w:rsid w:val="4CFB6302"/>
    <w:rsid w:val="4D1F6494"/>
    <w:rsid w:val="4D277464"/>
    <w:rsid w:val="4D477799"/>
    <w:rsid w:val="4D4952BF"/>
    <w:rsid w:val="4D52686A"/>
    <w:rsid w:val="4D671321"/>
    <w:rsid w:val="4D896004"/>
    <w:rsid w:val="4D8E53C8"/>
    <w:rsid w:val="4DA42E3E"/>
    <w:rsid w:val="4DB90697"/>
    <w:rsid w:val="4DBC1F35"/>
    <w:rsid w:val="4DC25072"/>
    <w:rsid w:val="4DC40DEA"/>
    <w:rsid w:val="4DD23507"/>
    <w:rsid w:val="4DD92AE7"/>
    <w:rsid w:val="4DE4323A"/>
    <w:rsid w:val="4E035DB6"/>
    <w:rsid w:val="4E0D2CAD"/>
    <w:rsid w:val="4E1E674C"/>
    <w:rsid w:val="4E333499"/>
    <w:rsid w:val="4E3917D8"/>
    <w:rsid w:val="4E393586"/>
    <w:rsid w:val="4E395334"/>
    <w:rsid w:val="4E524648"/>
    <w:rsid w:val="4E557C94"/>
    <w:rsid w:val="4E573A0C"/>
    <w:rsid w:val="4E685C19"/>
    <w:rsid w:val="4E6F6FA8"/>
    <w:rsid w:val="4E7B3B9E"/>
    <w:rsid w:val="4E834801"/>
    <w:rsid w:val="4E881E17"/>
    <w:rsid w:val="4EA2112B"/>
    <w:rsid w:val="4EAC3D58"/>
    <w:rsid w:val="4EB96475"/>
    <w:rsid w:val="4ECA3C43"/>
    <w:rsid w:val="4ECC43FA"/>
    <w:rsid w:val="4ED60DD5"/>
    <w:rsid w:val="4EE74D90"/>
    <w:rsid w:val="4EF23735"/>
    <w:rsid w:val="4EF40A54"/>
    <w:rsid w:val="4F204746"/>
    <w:rsid w:val="4F275AD4"/>
    <w:rsid w:val="4F341E93"/>
    <w:rsid w:val="4F3D0E54"/>
    <w:rsid w:val="4F583EE0"/>
    <w:rsid w:val="4F6A776F"/>
    <w:rsid w:val="4F7C5E20"/>
    <w:rsid w:val="4F8B7E11"/>
    <w:rsid w:val="4FA64C4B"/>
    <w:rsid w:val="4FA964E9"/>
    <w:rsid w:val="4FB37368"/>
    <w:rsid w:val="4FBA3848"/>
    <w:rsid w:val="4FBC621D"/>
    <w:rsid w:val="4FBE60A1"/>
    <w:rsid w:val="4FC47104"/>
    <w:rsid w:val="4FC6709B"/>
    <w:rsid w:val="4FC7696F"/>
    <w:rsid w:val="4FDA2B47"/>
    <w:rsid w:val="4FDC68BF"/>
    <w:rsid w:val="4FE92D8A"/>
    <w:rsid w:val="50033E4B"/>
    <w:rsid w:val="5006393C"/>
    <w:rsid w:val="500D0826"/>
    <w:rsid w:val="501B46D5"/>
    <w:rsid w:val="503B1837"/>
    <w:rsid w:val="50487B81"/>
    <w:rsid w:val="50540B7D"/>
    <w:rsid w:val="5055171C"/>
    <w:rsid w:val="5058366F"/>
    <w:rsid w:val="505C7A00"/>
    <w:rsid w:val="5060129E"/>
    <w:rsid w:val="50610B72"/>
    <w:rsid w:val="509E3B74"/>
    <w:rsid w:val="50A04105"/>
    <w:rsid w:val="50C17863"/>
    <w:rsid w:val="50C86E43"/>
    <w:rsid w:val="50F934A0"/>
    <w:rsid w:val="510A2FB8"/>
    <w:rsid w:val="51181B78"/>
    <w:rsid w:val="513149E8"/>
    <w:rsid w:val="51316796"/>
    <w:rsid w:val="51346287"/>
    <w:rsid w:val="514364CA"/>
    <w:rsid w:val="51497F84"/>
    <w:rsid w:val="515661FD"/>
    <w:rsid w:val="51656440"/>
    <w:rsid w:val="517F5754"/>
    <w:rsid w:val="51815F47"/>
    <w:rsid w:val="519D3E2C"/>
    <w:rsid w:val="51AB479B"/>
    <w:rsid w:val="51AF590D"/>
    <w:rsid w:val="51C051A1"/>
    <w:rsid w:val="51C969CF"/>
    <w:rsid w:val="51D75590"/>
    <w:rsid w:val="51DA0BDC"/>
    <w:rsid w:val="51E67581"/>
    <w:rsid w:val="52065E75"/>
    <w:rsid w:val="5217488A"/>
    <w:rsid w:val="521A1920"/>
    <w:rsid w:val="521E31BF"/>
    <w:rsid w:val="522B58DB"/>
    <w:rsid w:val="52383B54"/>
    <w:rsid w:val="5261047E"/>
    <w:rsid w:val="526B217C"/>
    <w:rsid w:val="52707792"/>
    <w:rsid w:val="528079D5"/>
    <w:rsid w:val="52807ED6"/>
    <w:rsid w:val="528A0854"/>
    <w:rsid w:val="52D25D57"/>
    <w:rsid w:val="52D843AC"/>
    <w:rsid w:val="52E37F64"/>
    <w:rsid w:val="52EB1306"/>
    <w:rsid w:val="530103EA"/>
    <w:rsid w:val="531445C2"/>
    <w:rsid w:val="531A6615"/>
    <w:rsid w:val="531C73AA"/>
    <w:rsid w:val="53277E51"/>
    <w:rsid w:val="53394028"/>
    <w:rsid w:val="533B38FC"/>
    <w:rsid w:val="53464AD3"/>
    <w:rsid w:val="53486019"/>
    <w:rsid w:val="53690469"/>
    <w:rsid w:val="537B019D"/>
    <w:rsid w:val="538E1C7E"/>
    <w:rsid w:val="5394300C"/>
    <w:rsid w:val="539620BD"/>
    <w:rsid w:val="53A07C03"/>
    <w:rsid w:val="53C102A5"/>
    <w:rsid w:val="53CA4C80"/>
    <w:rsid w:val="53D004E8"/>
    <w:rsid w:val="53DD0E57"/>
    <w:rsid w:val="53DF072C"/>
    <w:rsid w:val="5401574F"/>
    <w:rsid w:val="540168F4"/>
    <w:rsid w:val="541505F1"/>
    <w:rsid w:val="54176117"/>
    <w:rsid w:val="541A1764"/>
    <w:rsid w:val="541A5C08"/>
    <w:rsid w:val="541E4236"/>
    <w:rsid w:val="541E7226"/>
    <w:rsid w:val="542B571F"/>
    <w:rsid w:val="543C3DD0"/>
    <w:rsid w:val="544E58B1"/>
    <w:rsid w:val="54505185"/>
    <w:rsid w:val="54574766"/>
    <w:rsid w:val="54813591"/>
    <w:rsid w:val="548412D3"/>
    <w:rsid w:val="54994D7E"/>
    <w:rsid w:val="549E2395"/>
    <w:rsid w:val="54A61249"/>
    <w:rsid w:val="54AD082A"/>
    <w:rsid w:val="54BB2F47"/>
    <w:rsid w:val="54C0055D"/>
    <w:rsid w:val="54ED0C26"/>
    <w:rsid w:val="54FB77E7"/>
    <w:rsid w:val="55052414"/>
    <w:rsid w:val="550B34EC"/>
    <w:rsid w:val="551408A9"/>
    <w:rsid w:val="55254864"/>
    <w:rsid w:val="553A2FA1"/>
    <w:rsid w:val="554271C4"/>
    <w:rsid w:val="55717AA9"/>
    <w:rsid w:val="5578406B"/>
    <w:rsid w:val="557C1FAA"/>
    <w:rsid w:val="558C6691"/>
    <w:rsid w:val="559319AB"/>
    <w:rsid w:val="55A734CB"/>
    <w:rsid w:val="55A82D9F"/>
    <w:rsid w:val="55AE6607"/>
    <w:rsid w:val="55C93441"/>
    <w:rsid w:val="55D16071"/>
    <w:rsid w:val="55E24503"/>
    <w:rsid w:val="55EB160A"/>
    <w:rsid w:val="55F61D5C"/>
    <w:rsid w:val="56024E9F"/>
    <w:rsid w:val="560B3A5A"/>
    <w:rsid w:val="561B779B"/>
    <w:rsid w:val="56226FF5"/>
    <w:rsid w:val="56253E42"/>
    <w:rsid w:val="562E7748"/>
    <w:rsid w:val="563034C0"/>
    <w:rsid w:val="56321D83"/>
    <w:rsid w:val="56427BF3"/>
    <w:rsid w:val="564C7BCE"/>
    <w:rsid w:val="56513437"/>
    <w:rsid w:val="566B62A7"/>
    <w:rsid w:val="566D0271"/>
    <w:rsid w:val="567A1E09"/>
    <w:rsid w:val="568850AA"/>
    <w:rsid w:val="569357FD"/>
    <w:rsid w:val="569972B8"/>
    <w:rsid w:val="56AC4DB0"/>
    <w:rsid w:val="56CB4CE1"/>
    <w:rsid w:val="56E814EC"/>
    <w:rsid w:val="56F02C50"/>
    <w:rsid w:val="56FA5260"/>
    <w:rsid w:val="56FF2E93"/>
    <w:rsid w:val="57014E5D"/>
    <w:rsid w:val="57201787"/>
    <w:rsid w:val="573945F7"/>
    <w:rsid w:val="57403EEB"/>
    <w:rsid w:val="574C257C"/>
    <w:rsid w:val="576378C6"/>
    <w:rsid w:val="576D604E"/>
    <w:rsid w:val="57925AB5"/>
    <w:rsid w:val="579E445A"/>
    <w:rsid w:val="57B7551B"/>
    <w:rsid w:val="57C06AC6"/>
    <w:rsid w:val="57DF519E"/>
    <w:rsid w:val="57EF433F"/>
    <w:rsid w:val="57F549C2"/>
    <w:rsid w:val="57F64296"/>
    <w:rsid w:val="57FB6914"/>
    <w:rsid w:val="57FD5624"/>
    <w:rsid w:val="58003366"/>
    <w:rsid w:val="580A1AEF"/>
    <w:rsid w:val="581035A9"/>
    <w:rsid w:val="582A5D69"/>
    <w:rsid w:val="583A4F07"/>
    <w:rsid w:val="58597656"/>
    <w:rsid w:val="586456A3"/>
    <w:rsid w:val="5875165E"/>
    <w:rsid w:val="58782EFD"/>
    <w:rsid w:val="58951D01"/>
    <w:rsid w:val="58964B83"/>
    <w:rsid w:val="58A67A6A"/>
    <w:rsid w:val="58B02697"/>
    <w:rsid w:val="58B71C77"/>
    <w:rsid w:val="58CB5722"/>
    <w:rsid w:val="58D103DA"/>
    <w:rsid w:val="58F846B0"/>
    <w:rsid w:val="5915074C"/>
    <w:rsid w:val="59205A6E"/>
    <w:rsid w:val="594A6647"/>
    <w:rsid w:val="594C6863"/>
    <w:rsid w:val="596D4A2C"/>
    <w:rsid w:val="59814033"/>
    <w:rsid w:val="59815DE1"/>
    <w:rsid w:val="59852A87"/>
    <w:rsid w:val="59A33FA9"/>
    <w:rsid w:val="59B60181"/>
    <w:rsid w:val="59E533C1"/>
    <w:rsid w:val="59EF5441"/>
    <w:rsid w:val="59F20A8D"/>
    <w:rsid w:val="59F46E55"/>
    <w:rsid w:val="59FB3DE5"/>
    <w:rsid w:val="5A113609"/>
    <w:rsid w:val="5A1B1B14"/>
    <w:rsid w:val="5A364E1D"/>
    <w:rsid w:val="5A437DF3"/>
    <w:rsid w:val="5A455061"/>
    <w:rsid w:val="5A4B6B1B"/>
    <w:rsid w:val="5A511C57"/>
    <w:rsid w:val="5A5359CF"/>
    <w:rsid w:val="5A7F0572"/>
    <w:rsid w:val="5A845B89"/>
    <w:rsid w:val="5A902780"/>
    <w:rsid w:val="5A907647"/>
    <w:rsid w:val="5A9C4146"/>
    <w:rsid w:val="5A9C7376"/>
    <w:rsid w:val="5A9D4E9D"/>
    <w:rsid w:val="5AB04BD0"/>
    <w:rsid w:val="5ADC3C17"/>
    <w:rsid w:val="5AF80325"/>
    <w:rsid w:val="5B01542B"/>
    <w:rsid w:val="5B0A0784"/>
    <w:rsid w:val="5B0A62C6"/>
    <w:rsid w:val="5B10566E"/>
    <w:rsid w:val="5B323837"/>
    <w:rsid w:val="5B3E6680"/>
    <w:rsid w:val="5B5E07A8"/>
    <w:rsid w:val="5B6A1223"/>
    <w:rsid w:val="5B6B0AF7"/>
    <w:rsid w:val="5B791466"/>
    <w:rsid w:val="5B8816A9"/>
    <w:rsid w:val="5B977B3E"/>
    <w:rsid w:val="5BA5225B"/>
    <w:rsid w:val="5BA652E6"/>
    <w:rsid w:val="5BB73D3C"/>
    <w:rsid w:val="5BD330D9"/>
    <w:rsid w:val="5BD40D92"/>
    <w:rsid w:val="5BE064AE"/>
    <w:rsid w:val="5BF1724E"/>
    <w:rsid w:val="5BFE7BBD"/>
    <w:rsid w:val="5C0276AD"/>
    <w:rsid w:val="5C182A2D"/>
    <w:rsid w:val="5C225659"/>
    <w:rsid w:val="5C294C3A"/>
    <w:rsid w:val="5C321615"/>
    <w:rsid w:val="5C425CFC"/>
    <w:rsid w:val="5C4C0928"/>
    <w:rsid w:val="5C4F21C6"/>
    <w:rsid w:val="5C5872CD"/>
    <w:rsid w:val="5C6300BB"/>
    <w:rsid w:val="5C766B76"/>
    <w:rsid w:val="5C7E485A"/>
    <w:rsid w:val="5C8207EE"/>
    <w:rsid w:val="5C853E3A"/>
    <w:rsid w:val="5CAE513F"/>
    <w:rsid w:val="5CC17396"/>
    <w:rsid w:val="5CC46711"/>
    <w:rsid w:val="5CC977C8"/>
    <w:rsid w:val="5CCE2972"/>
    <w:rsid w:val="5CD526CC"/>
    <w:rsid w:val="5CF05758"/>
    <w:rsid w:val="5CF8285E"/>
    <w:rsid w:val="5D1217CA"/>
    <w:rsid w:val="5D127688"/>
    <w:rsid w:val="5D186A5C"/>
    <w:rsid w:val="5D192F00"/>
    <w:rsid w:val="5D1E1C28"/>
    <w:rsid w:val="5D340DF9"/>
    <w:rsid w:val="5D635F29"/>
    <w:rsid w:val="5D641CA2"/>
    <w:rsid w:val="5D740137"/>
    <w:rsid w:val="5D753EAF"/>
    <w:rsid w:val="5DAB5B22"/>
    <w:rsid w:val="5DBF02AE"/>
    <w:rsid w:val="5DC97650"/>
    <w:rsid w:val="5DCD5A99"/>
    <w:rsid w:val="5DE3706A"/>
    <w:rsid w:val="5DE66B5A"/>
    <w:rsid w:val="5DF70D68"/>
    <w:rsid w:val="5DF91197"/>
    <w:rsid w:val="5E021BF1"/>
    <w:rsid w:val="5E162F9C"/>
    <w:rsid w:val="5E192A8C"/>
    <w:rsid w:val="5E385608"/>
    <w:rsid w:val="5E510478"/>
    <w:rsid w:val="5E5B12F6"/>
    <w:rsid w:val="5E6C3504"/>
    <w:rsid w:val="5E9D36BD"/>
    <w:rsid w:val="5EAB402C"/>
    <w:rsid w:val="5EB32EE1"/>
    <w:rsid w:val="5EBA10B2"/>
    <w:rsid w:val="5ECE1AC8"/>
    <w:rsid w:val="5ED94888"/>
    <w:rsid w:val="5EEA61D6"/>
    <w:rsid w:val="5EF157B7"/>
    <w:rsid w:val="5EF808F3"/>
    <w:rsid w:val="5F04373C"/>
    <w:rsid w:val="5F155949"/>
    <w:rsid w:val="5F21609C"/>
    <w:rsid w:val="5F4973A1"/>
    <w:rsid w:val="5F5F4B0A"/>
    <w:rsid w:val="5F5F6BC4"/>
    <w:rsid w:val="5F824661"/>
    <w:rsid w:val="5F8E7B88"/>
    <w:rsid w:val="5F9A440D"/>
    <w:rsid w:val="5FAB005C"/>
    <w:rsid w:val="5FAD7930"/>
    <w:rsid w:val="5FB011CE"/>
    <w:rsid w:val="5FBE7D8F"/>
    <w:rsid w:val="5FC44C79"/>
    <w:rsid w:val="5FCD7FD2"/>
    <w:rsid w:val="5FD41360"/>
    <w:rsid w:val="5FD650D9"/>
    <w:rsid w:val="5FE33352"/>
    <w:rsid w:val="5FEC48FC"/>
    <w:rsid w:val="5FF67529"/>
    <w:rsid w:val="60125EE4"/>
    <w:rsid w:val="60196D73"/>
    <w:rsid w:val="6042451C"/>
    <w:rsid w:val="60430294"/>
    <w:rsid w:val="604F09E7"/>
    <w:rsid w:val="60634492"/>
    <w:rsid w:val="60824919"/>
    <w:rsid w:val="60AC5E39"/>
    <w:rsid w:val="60B13450"/>
    <w:rsid w:val="60B16A2C"/>
    <w:rsid w:val="60B46A9C"/>
    <w:rsid w:val="60CA4511"/>
    <w:rsid w:val="60CF2270"/>
    <w:rsid w:val="60EA0710"/>
    <w:rsid w:val="61105B00"/>
    <w:rsid w:val="611063C8"/>
    <w:rsid w:val="6131633F"/>
    <w:rsid w:val="61500EBB"/>
    <w:rsid w:val="6155027F"/>
    <w:rsid w:val="616E30EF"/>
    <w:rsid w:val="618D5C6B"/>
    <w:rsid w:val="618D7A19"/>
    <w:rsid w:val="61B054B5"/>
    <w:rsid w:val="61BA6334"/>
    <w:rsid w:val="61C40F61"/>
    <w:rsid w:val="61CB6793"/>
    <w:rsid w:val="61CD7542"/>
    <w:rsid w:val="61CE53C5"/>
    <w:rsid w:val="61F47A98"/>
    <w:rsid w:val="62035F2D"/>
    <w:rsid w:val="62195750"/>
    <w:rsid w:val="62233ED9"/>
    <w:rsid w:val="62326812"/>
    <w:rsid w:val="625E0BAD"/>
    <w:rsid w:val="626A7D5A"/>
    <w:rsid w:val="626D33A6"/>
    <w:rsid w:val="626E292D"/>
    <w:rsid w:val="62726C0F"/>
    <w:rsid w:val="628030DA"/>
    <w:rsid w:val="62844CBB"/>
    <w:rsid w:val="62850B02"/>
    <w:rsid w:val="62A56FE4"/>
    <w:rsid w:val="62BB05B6"/>
    <w:rsid w:val="62BE3C02"/>
    <w:rsid w:val="62C84A81"/>
    <w:rsid w:val="62CF4061"/>
    <w:rsid w:val="62D13F91"/>
    <w:rsid w:val="62DB2A06"/>
    <w:rsid w:val="62E53885"/>
    <w:rsid w:val="62EE44E7"/>
    <w:rsid w:val="62F13FD7"/>
    <w:rsid w:val="62FA7330"/>
    <w:rsid w:val="63097573"/>
    <w:rsid w:val="631F0B45"/>
    <w:rsid w:val="63260125"/>
    <w:rsid w:val="6329551F"/>
    <w:rsid w:val="632A1297"/>
    <w:rsid w:val="633D0FCB"/>
    <w:rsid w:val="63443F85"/>
    <w:rsid w:val="63462575"/>
    <w:rsid w:val="63506F50"/>
    <w:rsid w:val="63626C83"/>
    <w:rsid w:val="63640C4D"/>
    <w:rsid w:val="636A1DF4"/>
    <w:rsid w:val="636E5E8A"/>
    <w:rsid w:val="63750765"/>
    <w:rsid w:val="63754C08"/>
    <w:rsid w:val="63757D53"/>
    <w:rsid w:val="637A0055"/>
    <w:rsid w:val="63925C47"/>
    <w:rsid w:val="63AB062A"/>
    <w:rsid w:val="63C33BC6"/>
    <w:rsid w:val="63C82F8A"/>
    <w:rsid w:val="63D27965"/>
    <w:rsid w:val="63D53D1D"/>
    <w:rsid w:val="63E37DC4"/>
    <w:rsid w:val="63F21DB5"/>
    <w:rsid w:val="63F35B2D"/>
    <w:rsid w:val="63F43D7F"/>
    <w:rsid w:val="64032214"/>
    <w:rsid w:val="64087DB2"/>
    <w:rsid w:val="643B7C00"/>
    <w:rsid w:val="64416899"/>
    <w:rsid w:val="64485E79"/>
    <w:rsid w:val="645D6AA5"/>
    <w:rsid w:val="645F6BD5"/>
    <w:rsid w:val="648570CD"/>
    <w:rsid w:val="64931D3E"/>
    <w:rsid w:val="64963088"/>
    <w:rsid w:val="64A01811"/>
    <w:rsid w:val="64C42DBE"/>
    <w:rsid w:val="64C86E69"/>
    <w:rsid w:val="64D85D95"/>
    <w:rsid w:val="64DB6072"/>
    <w:rsid w:val="64DC3745"/>
    <w:rsid w:val="64E060B2"/>
    <w:rsid w:val="64E21E2A"/>
    <w:rsid w:val="64E9765C"/>
    <w:rsid w:val="64FE29DC"/>
    <w:rsid w:val="65046244"/>
    <w:rsid w:val="650E0E71"/>
    <w:rsid w:val="65102E3B"/>
    <w:rsid w:val="651D2E62"/>
    <w:rsid w:val="65293EFC"/>
    <w:rsid w:val="65554CF2"/>
    <w:rsid w:val="655A40B6"/>
    <w:rsid w:val="656211BC"/>
    <w:rsid w:val="656B0071"/>
    <w:rsid w:val="659550EE"/>
    <w:rsid w:val="65BA4B55"/>
    <w:rsid w:val="65CB4FB4"/>
    <w:rsid w:val="65D73958"/>
    <w:rsid w:val="65D8322D"/>
    <w:rsid w:val="65DF37BF"/>
    <w:rsid w:val="66101A71"/>
    <w:rsid w:val="661B7749"/>
    <w:rsid w:val="66215C34"/>
    <w:rsid w:val="66216982"/>
    <w:rsid w:val="66240220"/>
    <w:rsid w:val="662B15AE"/>
    <w:rsid w:val="662D2906"/>
    <w:rsid w:val="663012BB"/>
    <w:rsid w:val="66304E17"/>
    <w:rsid w:val="664F4EF8"/>
    <w:rsid w:val="665E7BD6"/>
    <w:rsid w:val="6660394E"/>
    <w:rsid w:val="66611474"/>
    <w:rsid w:val="666F3B91"/>
    <w:rsid w:val="667C4500"/>
    <w:rsid w:val="66903B07"/>
    <w:rsid w:val="669453A6"/>
    <w:rsid w:val="669C425A"/>
    <w:rsid w:val="66A23F66"/>
    <w:rsid w:val="66A704B5"/>
    <w:rsid w:val="66AF0431"/>
    <w:rsid w:val="66AF6DCA"/>
    <w:rsid w:val="66B15F58"/>
    <w:rsid w:val="66BE2423"/>
    <w:rsid w:val="66C35C8B"/>
    <w:rsid w:val="66D71D69"/>
    <w:rsid w:val="66E300DB"/>
    <w:rsid w:val="671604B0"/>
    <w:rsid w:val="672229B1"/>
    <w:rsid w:val="672A7AB8"/>
    <w:rsid w:val="67317098"/>
    <w:rsid w:val="673426E5"/>
    <w:rsid w:val="674C5C80"/>
    <w:rsid w:val="67582877"/>
    <w:rsid w:val="675863D3"/>
    <w:rsid w:val="67626648"/>
    <w:rsid w:val="677376B1"/>
    <w:rsid w:val="677F7E04"/>
    <w:rsid w:val="67825B46"/>
    <w:rsid w:val="678278F4"/>
    <w:rsid w:val="67966EFB"/>
    <w:rsid w:val="67987117"/>
    <w:rsid w:val="67A55390"/>
    <w:rsid w:val="67A71109"/>
    <w:rsid w:val="67A7735B"/>
    <w:rsid w:val="67AE2497"/>
    <w:rsid w:val="67B13D35"/>
    <w:rsid w:val="67B4474D"/>
    <w:rsid w:val="67BC1058"/>
    <w:rsid w:val="67C95523"/>
    <w:rsid w:val="67CE2B39"/>
    <w:rsid w:val="67D839B8"/>
    <w:rsid w:val="67D87514"/>
    <w:rsid w:val="67EB36EB"/>
    <w:rsid w:val="67F00D02"/>
    <w:rsid w:val="68095AB6"/>
    <w:rsid w:val="680E1188"/>
    <w:rsid w:val="68126ECA"/>
    <w:rsid w:val="68182006"/>
    <w:rsid w:val="681D761D"/>
    <w:rsid w:val="682269E1"/>
    <w:rsid w:val="683F3A37"/>
    <w:rsid w:val="683F7593"/>
    <w:rsid w:val="684A4454"/>
    <w:rsid w:val="684B23DC"/>
    <w:rsid w:val="685C6397"/>
    <w:rsid w:val="685F3791"/>
    <w:rsid w:val="68633281"/>
    <w:rsid w:val="686F60CA"/>
    <w:rsid w:val="68833924"/>
    <w:rsid w:val="68880F3A"/>
    <w:rsid w:val="68A77621"/>
    <w:rsid w:val="68B00491"/>
    <w:rsid w:val="68C47A98"/>
    <w:rsid w:val="68CB0E27"/>
    <w:rsid w:val="68CB6202"/>
    <w:rsid w:val="68EE2FED"/>
    <w:rsid w:val="68F6059A"/>
    <w:rsid w:val="68FB5BB0"/>
    <w:rsid w:val="690A194F"/>
    <w:rsid w:val="69126A56"/>
    <w:rsid w:val="69135570"/>
    <w:rsid w:val="69140A20"/>
    <w:rsid w:val="691602F4"/>
    <w:rsid w:val="691B590A"/>
    <w:rsid w:val="694855A7"/>
    <w:rsid w:val="695B664F"/>
    <w:rsid w:val="696C260A"/>
    <w:rsid w:val="69715E72"/>
    <w:rsid w:val="69796AD5"/>
    <w:rsid w:val="698C6808"/>
    <w:rsid w:val="699102C2"/>
    <w:rsid w:val="69A16AA6"/>
    <w:rsid w:val="69DF2DDC"/>
    <w:rsid w:val="69F85C4B"/>
    <w:rsid w:val="6A010FA4"/>
    <w:rsid w:val="6A050368"/>
    <w:rsid w:val="6A092CB0"/>
    <w:rsid w:val="6A0B0795"/>
    <w:rsid w:val="6A0C5941"/>
    <w:rsid w:val="6A114F5F"/>
    <w:rsid w:val="6A222CC8"/>
    <w:rsid w:val="6A2C6645"/>
    <w:rsid w:val="6A413A96"/>
    <w:rsid w:val="6A5F5CCB"/>
    <w:rsid w:val="6A627569"/>
    <w:rsid w:val="6A6B466F"/>
    <w:rsid w:val="6A7B2B14"/>
    <w:rsid w:val="6A815C41"/>
    <w:rsid w:val="6A8219B9"/>
    <w:rsid w:val="6A8F4802"/>
    <w:rsid w:val="6A9040D6"/>
    <w:rsid w:val="6A927E4E"/>
    <w:rsid w:val="6A934995"/>
    <w:rsid w:val="6AB73D58"/>
    <w:rsid w:val="6ABA55F7"/>
    <w:rsid w:val="6ACF10A2"/>
    <w:rsid w:val="6AD44E0D"/>
    <w:rsid w:val="6AD70B80"/>
    <w:rsid w:val="6ADC37BF"/>
    <w:rsid w:val="6AE10DD5"/>
    <w:rsid w:val="6AE6019A"/>
    <w:rsid w:val="6AFD7D57"/>
    <w:rsid w:val="6B0E04B9"/>
    <w:rsid w:val="6B210FDB"/>
    <w:rsid w:val="6B340F05"/>
    <w:rsid w:val="6B476E8A"/>
    <w:rsid w:val="6B4C3E90"/>
    <w:rsid w:val="6B633598"/>
    <w:rsid w:val="6B7E03D2"/>
    <w:rsid w:val="6B8D6867"/>
    <w:rsid w:val="6B8F438D"/>
    <w:rsid w:val="6B9419A4"/>
    <w:rsid w:val="6BB205BA"/>
    <w:rsid w:val="6BB34520"/>
    <w:rsid w:val="6BC30A2F"/>
    <w:rsid w:val="6BC32289"/>
    <w:rsid w:val="6BEB1F0C"/>
    <w:rsid w:val="6BEC5C84"/>
    <w:rsid w:val="6BFA3EFD"/>
    <w:rsid w:val="6C042FCD"/>
    <w:rsid w:val="6C276CBC"/>
    <w:rsid w:val="6C4E5FF7"/>
    <w:rsid w:val="6C5A768C"/>
    <w:rsid w:val="6C5F0204"/>
    <w:rsid w:val="6C621AA2"/>
    <w:rsid w:val="6C7C2B64"/>
    <w:rsid w:val="6C823EF2"/>
    <w:rsid w:val="6C895281"/>
    <w:rsid w:val="6C8B3CB7"/>
    <w:rsid w:val="6C97799E"/>
    <w:rsid w:val="6C9D0D2C"/>
    <w:rsid w:val="6CA7441E"/>
    <w:rsid w:val="6CB73B9C"/>
    <w:rsid w:val="6CC263B6"/>
    <w:rsid w:val="6CD56718"/>
    <w:rsid w:val="6CDE381E"/>
    <w:rsid w:val="6CDE55CC"/>
    <w:rsid w:val="6CE10C19"/>
    <w:rsid w:val="6CEB5F3B"/>
    <w:rsid w:val="6CEF77DA"/>
    <w:rsid w:val="6D25144D"/>
    <w:rsid w:val="6D285A19"/>
    <w:rsid w:val="6D2C27DC"/>
    <w:rsid w:val="6D3A657B"/>
    <w:rsid w:val="6D575662"/>
    <w:rsid w:val="6D8343C6"/>
    <w:rsid w:val="6D8A7502"/>
    <w:rsid w:val="6D9143ED"/>
    <w:rsid w:val="6D9D1490"/>
    <w:rsid w:val="6DB602F7"/>
    <w:rsid w:val="6E021177"/>
    <w:rsid w:val="6E113780"/>
    <w:rsid w:val="6E3B25AB"/>
    <w:rsid w:val="6E60613A"/>
    <w:rsid w:val="6E6B7334"/>
    <w:rsid w:val="6E7920C4"/>
    <w:rsid w:val="6E881C94"/>
    <w:rsid w:val="6E9128A6"/>
    <w:rsid w:val="6E934195"/>
    <w:rsid w:val="6EAB3BD4"/>
    <w:rsid w:val="6EBF31DC"/>
    <w:rsid w:val="6ED722D3"/>
    <w:rsid w:val="6EE40E94"/>
    <w:rsid w:val="6EF94940"/>
    <w:rsid w:val="6EFF5CCE"/>
    <w:rsid w:val="6F195402"/>
    <w:rsid w:val="6F223058"/>
    <w:rsid w:val="6F2D1785"/>
    <w:rsid w:val="6F3C482C"/>
    <w:rsid w:val="6F40256E"/>
    <w:rsid w:val="6F451933"/>
    <w:rsid w:val="6F502DDE"/>
    <w:rsid w:val="6F541B76"/>
    <w:rsid w:val="6F5C6C7D"/>
    <w:rsid w:val="6F655B31"/>
    <w:rsid w:val="6F675D4D"/>
    <w:rsid w:val="6F7F4719"/>
    <w:rsid w:val="6F800BBD"/>
    <w:rsid w:val="6F9E1043"/>
    <w:rsid w:val="6FB95E7D"/>
    <w:rsid w:val="6FD35191"/>
    <w:rsid w:val="6FED0079"/>
    <w:rsid w:val="7004744B"/>
    <w:rsid w:val="700C41FF"/>
    <w:rsid w:val="70180DF5"/>
    <w:rsid w:val="704A2F79"/>
    <w:rsid w:val="7055204A"/>
    <w:rsid w:val="705636CC"/>
    <w:rsid w:val="705D4A5A"/>
    <w:rsid w:val="706109EE"/>
    <w:rsid w:val="706A53C9"/>
    <w:rsid w:val="707A385E"/>
    <w:rsid w:val="707B6778"/>
    <w:rsid w:val="70812E3F"/>
    <w:rsid w:val="7082711C"/>
    <w:rsid w:val="7084648B"/>
    <w:rsid w:val="70903082"/>
    <w:rsid w:val="709A3F00"/>
    <w:rsid w:val="70B34FC2"/>
    <w:rsid w:val="70D07922"/>
    <w:rsid w:val="70D34D1C"/>
    <w:rsid w:val="70E37655"/>
    <w:rsid w:val="70E46FD0"/>
    <w:rsid w:val="70E62CA2"/>
    <w:rsid w:val="70EF6DAB"/>
    <w:rsid w:val="70F3716D"/>
    <w:rsid w:val="70FE623D"/>
    <w:rsid w:val="71017ADB"/>
    <w:rsid w:val="71233EF6"/>
    <w:rsid w:val="71285068"/>
    <w:rsid w:val="713003C1"/>
    <w:rsid w:val="7135191D"/>
    <w:rsid w:val="714365DB"/>
    <w:rsid w:val="714D4ACF"/>
    <w:rsid w:val="71500A63"/>
    <w:rsid w:val="71557E27"/>
    <w:rsid w:val="71641E18"/>
    <w:rsid w:val="71687B5B"/>
    <w:rsid w:val="717B788E"/>
    <w:rsid w:val="71AA1F21"/>
    <w:rsid w:val="71AD37BF"/>
    <w:rsid w:val="71B52674"/>
    <w:rsid w:val="71D21478"/>
    <w:rsid w:val="71DF78C7"/>
    <w:rsid w:val="71E33685"/>
    <w:rsid w:val="71E47133"/>
    <w:rsid w:val="71F91DA6"/>
    <w:rsid w:val="720C498A"/>
    <w:rsid w:val="72233A82"/>
    <w:rsid w:val="723637B5"/>
    <w:rsid w:val="72402885"/>
    <w:rsid w:val="724063E2"/>
    <w:rsid w:val="724F2AC9"/>
    <w:rsid w:val="726C7228"/>
    <w:rsid w:val="727367B7"/>
    <w:rsid w:val="72750781"/>
    <w:rsid w:val="7278396D"/>
    <w:rsid w:val="72850298"/>
    <w:rsid w:val="7285473C"/>
    <w:rsid w:val="72930C07"/>
    <w:rsid w:val="72966949"/>
    <w:rsid w:val="72A03324"/>
    <w:rsid w:val="72A8342B"/>
    <w:rsid w:val="72B017B9"/>
    <w:rsid w:val="72B56DCF"/>
    <w:rsid w:val="72C15774"/>
    <w:rsid w:val="72C708B1"/>
    <w:rsid w:val="72DA05E4"/>
    <w:rsid w:val="72EE408F"/>
    <w:rsid w:val="72F07E08"/>
    <w:rsid w:val="72F537A3"/>
    <w:rsid w:val="73092C77"/>
    <w:rsid w:val="73117D7E"/>
    <w:rsid w:val="7321223D"/>
    <w:rsid w:val="732940F3"/>
    <w:rsid w:val="73353A6C"/>
    <w:rsid w:val="73467A28"/>
    <w:rsid w:val="734E2D80"/>
    <w:rsid w:val="73506AF8"/>
    <w:rsid w:val="736B56E0"/>
    <w:rsid w:val="737427E7"/>
    <w:rsid w:val="738642C8"/>
    <w:rsid w:val="73925FA9"/>
    <w:rsid w:val="739C3AEB"/>
    <w:rsid w:val="73A26F97"/>
    <w:rsid w:val="73A34E7A"/>
    <w:rsid w:val="73B52DFF"/>
    <w:rsid w:val="73BE7F06"/>
    <w:rsid w:val="73D56FFD"/>
    <w:rsid w:val="73D96AEE"/>
    <w:rsid w:val="73E831D5"/>
    <w:rsid w:val="73F751C6"/>
    <w:rsid w:val="73FB200E"/>
    <w:rsid w:val="74081181"/>
    <w:rsid w:val="74213FF1"/>
    <w:rsid w:val="7428537F"/>
    <w:rsid w:val="742D0BE7"/>
    <w:rsid w:val="74485A21"/>
    <w:rsid w:val="74626AE3"/>
    <w:rsid w:val="746F28A8"/>
    <w:rsid w:val="748702F8"/>
    <w:rsid w:val="748E051F"/>
    <w:rsid w:val="74A54C22"/>
    <w:rsid w:val="74AC4202"/>
    <w:rsid w:val="74B03CF2"/>
    <w:rsid w:val="74B80DF9"/>
    <w:rsid w:val="74CA4688"/>
    <w:rsid w:val="74D177C5"/>
    <w:rsid w:val="74DA2B1D"/>
    <w:rsid w:val="74F51705"/>
    <w:rsid w:val="74FC2209"/>
    <w:rsid w:val="750B717B"/>
    <w:rsid w:val="75175B20"/>
    <w:rsid w:val="75183646"/>
    <w:rsid w:val="75226272"/>
    <w:rsid w:val="75282933"/>
    <w:rsid w:val="753164B5"/>
    <w:rsid w:val="754E0E15"/>
    <w:rsid w:val="75752846"/>
    <w:rsid w:val="7590142E"/>
    <w:rsid w:val="75A82C1C"/>
    <w:rsid w:val="75AF3FAA"/>
    <w:rsid w:val="75B31534"/>
    <w:rsid w:val="75B55338"/>
    <w:rsid w:val="75BC7667"/>
    <w:rsid w:val="75C335B1"/>
    <w:rsid w:val="75CC7B9C"/>
    <w:rsid w:val="75E1250B"/>
    <w:rsid w:val="761262E7"/>
    <w:rsid w:val="76157B85"/>
    <w:rsid w:val="761C0F14"/>
    <w:rsid w:val="762462F9"/>
    <w:rsid w:val="76342701"/>
    <w:rsid w:val="763E532E"/>
    <w:rsid w:val="765B5EE0"/>
    <w:rsid w:val="76755608"/>
    <w:rsid w:val="76832D41"/>
    <w:rsid w:val="768C7E47"/>
    <w:rsid w:val="7691545E"/>
    <w:rsid w:val="76922CEE"/>
    <w:rsid w:val="76A35191"/>
    <w:rsid w:val="76B92C06"/>
    <w:rsid w:val="76BB072D"/>
    <w:rsid w:val="76C021E7"/>
    <w:rsid w:val="76D17F50"/>
    <w:rsid w:val="76EC6B38"/>
    <w:rsid w:val="770F2826"/>
    <w:rsid w:val="771B741D"/>
    <w:rsid w:val="771F2A69"/>
    <w:rsid w:val="77274014"/>
    <w:rsid w:val="7729338B"/>
    <w:rsid w:val="772E53A2"/>
    <w:rsid w:val="773C7CB0"/>
    <w:rsid w:val="77456248"/>
    <w:rsid w:val="776E0EA9"/>
    <w:rsid w:val="776E1C43"/>
    <w:rsid w:val="778B45A3"/>
    <w:rsid w:val="77996839"/>
    <w:rsid w:val="779C055E"/>
    <w:rsid w:val="77C67389"/>
    <w:rsid w:val="77C90C27"/>
    <w:rsid w:val="77CB499F"/>
    <w:rsid w:val="77D56E94"/>
    <w:rsid w:val="77DA1086"/>
    <w:rsid w:val="77DA4BE2"/>
    <w:rsid w:val="77DA5DCD"/>
    <w:rsid w:val="77DF669D"/>
    <w:rsid w:val="77E45A7F"/>
    <w:rsid w:val="77EE07F9"/>
    <w:rsid w:val="780D4FB8"/>
    <w:rsid w:val="781E0F73"/>
    <w:rsid w:val="78216CB5"/>
    <w:rsid w:val="78300CA6"/>
    <w:rsid w:val="78322C70"/>
    <w:rsid w:val="78342545"/>
    <w:rsid w:val="783732F5"/>
    <w:rsid w:val="78395DAD"/>
    <w:rsid w:val="783E1615"/>
    <w:rsid w:val="78454752"/>
    <w:rsid w:val="784A1D68"/>
    <w:rsid w:val="787C5288"/>
    <w:rsid w:val="78801C2E"/>
    <w:rsid w:val="789B0816"/>
    <w:rsid w:val="78A3591C"/>
    <w:rsid w:val="78B95140"/>
    <w:rsid w:val="78BC36B5"/>
    <w:rsid w:val="78C80EDF"/>
    <w:rsid w:val="78E8332F"/>
    <w:rsid w:val="79050385"/>
    <w:rsid w:val="790939D1"/>
    <w:rsid w:val="790A7749"/>
    <w:rsid w:val="791A3E30"/>
    <w:rsid w:val="791D56CF"/>
    <w:rsid w:val="79273E57"/>
    <w:rsid w:val="792F0F5E"/>
    <w:rsid w:val="79334EF2"/>
    <w:rsid w:val="794C7D62"/>
    <w:rsid w:val="79501600"/>
    <w:rsid w:val="79646E59"/>
    <w:rsid w:val="79690914"/>
    <w:rsid w:val="79703416"/>
    <w:rsid w:val="797A042B"/>
    <w:rsid w:val="798B4E50"/>
    <w:rsid w:val="79984D55"/>
    <w:rsid w:val="79A4194C"/>
    <w:rsid w:val="79B53B59"/>
    <w:rsid w:val="79CD0EA3"/>
    <w:rsid w:val="79D044EF"/>
    <w:rsid w:val="79D07F63"/>
    <w:rsid w:val="79DE6506"/>
    <w:rsid w:val="79E57412"/>
    <w:rsid w:val="79F32300"/>
    <w:rsid w:val="7A0423EA"/>
    <w:rsid w:val="7A214D4A"/>
    <w:rsid w:val="7A41719B"/>
    <w:rsid w:val="7A592736"/>
    <w:rsid w:val="7A5A200A"/>
    <w:rsid w:val="7A6C06BC"/>
    <w:rsid w:val="7A772BBC"/>
    <w:rsid w:val="7A796935"/>
    <w:rsid w:val="7A951295"/>
    <w:rsid w:val="7AA65250"/>
    <w:rsid w:val="7AB01E15"/>
    <w:rsid w:val="7AB636E5"/>
    <w:rsid w:val="7ACB39D5"/>
    <w:rsid w:val="7AEC5358"/>
    <w:rsid w:val="7AF33058"/>
    <w:rsid w:val="7AF52646"/>
    <w:rsid w:val="7B073F40"/>
    <w:rsid w:val="7B0F1047"/>
    <w:rsid w:val="7B1E128A"/>
    <w:rsid w:val="7B253EBC"/>
    <w:rsid w:val="7B2C7E4B"/>
    <w:rsid w:val="7B340AAD"/>
    <w:rsid w:val="7B445194"/>
    <w:rsid w:val="7B5A49B8"/>
    <w:rsid w:val="7B5F1FCE"/>
    <w:rsid w:val="7B6C0247"/>
    <w:rsid w:val="7B7315D6"/>
    <w:rsid w:val="7B78249A"/>
    <w:rsid w:val="7B786BEC"/>
    <w:rsid w:val="7B7F441F"/>
    <w:rsid w:val="7B8C08E9"/>
    <w:rsid w:val="7BA14395"/>
    <w:rsid w:val="7BDC361F"/>
    <w:rsid w:val="7BF2699E"/>
    <w:rsid w:val="7BF85F7F"/>
    <w:rsid w:val="7C0466D2"/>
    <w:rsid w:val="7C093CE8"/>
    <w:rsid w:val="7C0D37D8"/>
    <w:rsid w:val="7C105077"/>
    <w:rsid w:val="7C1C3A1B"/>
    <w:rsid w:val="7C1E59E5"/>
    <w:rsid w:val="7C2B3C5E"/>
    <w:rsid w:val="7C32323F"/>
    <w:rsid w:val="7C4B2553"/>
    <w:rsid w:val="7C594C70"/>
    <w:rsid w:val="7C683105"/>
    <w:rsid w:val="7C687E16"/>
    <w:rsid w:val="7C6D071B"/>
    <w:rsid w:val="7C703D67"/>
    <w:rsid w:val="7C86358B"/>
    <w:rsid w:val="7C961A20"/>
    <w:rsid w:val="7C9B5288"/>
    <w:rsid w:val="7CBC0D5A"/>
    <w:rsid w:val="7CC540B3"/>
    <w:rsid w:val="7CC77E2B"/>
    <w:rsid w:val="7CCB71F0"/>
    <w:rsid w:val="7CCD740C"/>
    <w:rsid w:val="7CCF4F32"/>
    <w:rsid w:val="7CD14670"/>
    <w:rsid w:val="7CDE1D96"/>
    <w:rsid w:val="7CE81B50"/>
    <w:rsid w:val="7CF91FAF"/>
    <w:rsid w:val="7CFF1EC8"/>
    <w:rsid w:val="7D0D15B6"/>
    <w:rsid w:val="7D0F3580"/>
    <w:rsid w:val="7D11554A"/>
    <w:rsid w:val="7D311748"/>
    <w:rsid w:val="7D4551F4"/>
    <w:rsid w:val="7D4A45B8"/>
    <w:rsid w:val="7D5F5C08"/>
    <w:rsid w:val="7D63567A"/>
    <w:rsid w:val="7D761851"/>
    <w:rsid w:val="7D7B29C4"/>
    <w:rsid w:val="7D80622C"/>
    <w:rsid w:val="7D8653D7"/>
    <w:rsid w:val="7DA41F1A"/>
    <w:rsid w:val="7DAA5057"/>
    <w:rsid w:val="7DB67EA0"/>
    <w:rsid w:val="7DD81BC4"/>
    <w:rsid w:val="7DE22A43"/>
    <w:rsid w:val="7DE93DD1"/>
    <w:rsid w:val="7DEF1DBB"/>
    <w:rsid w:val="7E01736D"/>
    <w:rsid w:val="7E040C0B"/>
    <w:rsid w:val="7E132BFC"/>
    <w:rsid w:val="7E461224"/>
    <w:rsid w:val="7E6671D0"/>
    <w:rsid w:val="7E6B2A38"/>
    <w:rsid w:val="7E7044F2"/>
    <w:rsid w:val="7E834226"/>
    <w:rsid w:val="7E8458A8"/>
    <w:rsid w:val="7E9006F1"/>
    <w:rsid w:val="7E97382D"/>
    <w:rsid w:val="7E9975A5"/>
    <w:rsid w:val="7E9C0E44"/>
    <w:rsid w:val="7EA877E8"/>
    <w:rsid w:val="7EC16AFC"/>
    <w:rsid w:val="7EC363D0"/>
    <w:rsid w:val="7ECB34D7"/>
    <w:rsid w:val="7EDF4437"/>
    <w:rsid w:val="7EFA2007"/>
    <w:rsid w:val="7F1233A1"/>
    <w:rsid w:val="7F3B065C"/>
    <w:rsid w:val="7F413799"/>
    <w:rsid w:val="7F422EAD"/>
    <w:rsid w:val="7F52551F"/>
    <w:rsid w:val="7F58120E"/>
    <w:rsid w:val="7F6C6A68"/>
    <w:rsid w:val="7F853FCE"/>
    <w:rsid w:val="7F945708"/>
    <w:rsid w:val="7F984CF9"/>
    <w:rsid w:val="7FA2692E"/>
    <w:rsid w:val="7FB34697"/>
    <w:rsid w:val="7FC56178"/>
    <w:rsid w:val="7FCB7C32"/>
    <w:rsid w:val="7FD0349B"/>
    <w:rsid w:val="7FD36AE7"/>
    <w:rsid w:val="7FE231CE"/>
    <w:rsid w:val="7FED4A4C"/>
    <w:rsid w:val="7FEE3921"/>
    <w:rsid w:val="7FFD7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7">
    <w:name w:val="heading 2"/>
    <w:basedOn w:val="1"/>
    <w:next w:val="1"/>
    <w:qFormat/>
    <w:uiPriority w:val="99"/>
    <w:pPr>
      <w:keepNext/>
      <w:keepLines/>
      <w:spacing w:before="260" w:after="260" w:line="20" w:lineRule="exact"/>
      <w:ind w:right="-142"/>
      <w:outlineLvl w:val="1"/>
    </w:pPr>
    <w:rPr>
      <w:color w:val="FF0000"/>
      <w:kern w:val="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5"/>
    <w:qFormat/>
    <w:uiPriority w:val="0"/>
    <w:pPr>
      <w:ind w:firstLine="420"/>
    </w:pPr>
  </w:style>
  <w:style w:type="paragraph" w:customStyle="1" w:styleId="3">
    <w:name w:val="BodyTextIndent"/>
    <w:basedOn w:val="1"/>
    <w:next w:val="4"/>
    <w:qFormat/>
    <w:uiPriority w:val="0"/>
    <w:pPr>
      <w:spacing w:after="120"/>
      <w:ind w:left="200" w:leftChars="200"/>
      <w:textAlignment w:val="baseline"/>
    </w:pPr>
    <w:rPr>
      <w:rFonts w:ascii="Calibri" w:hAnsi="Calibri"/>
    </w:rPr>
  </w:style>
  <w:style w:type="paragraph" w:customStyle="1" w:styleId="4">
    <w:name w:val="NormalIndent"/>
    <w:basedOn w:val="1"/>
    <w:qFormat/>
    <w:uiPriority w:val="0"/>
    <w:pPr>
      <w:ind w:firstLine="420"/>
      <w:textAlignment w:val="baseline"/>
    </w:pPr>
    <w:rPr>
      <w:rFonts w:ascii="Calibri" w:hAnsi="Calibri"/>
      <w:sz w:val="32"/>
    </w:rPr>
  </w:style>
  <w:style w:type="paragraph" w:customStyle="1" w:styleId="5">
    <w:name w:val="BodyText1I"/>
    <w:basedOn w:val="6"/>
    <w:qFormat/>
    <w:uiPriority w:val="0"/>
    <w:pPr>
      <w:ind w:firstLine="100" w:firstLineChars="100"/>
    </w:pPr>
  </w:style>
  <w:style w:type="paragraph" w:customStyle="1" w:styleId="6">
    <w:name w:val="BodyText"/>
    <w:basedOn w:val="1"/>
    <w:next w:val="1"/>
    <w:qFormat/>
    <w:uiPriority w:val="0"/>
    <w:pPr>
      <w:spacing w:after="120"/>
      <w:textAlignment w:val="baseline"/>
    </w:pPr>
  </w:style>
  <w:style w:type="paragraph" w:styleId="8">
    <w:name w:val="toc 7"/>
    <w:basedOn w:val="1"/>
    <w:next w:val="1"/>
    <w:unhideWhenUsed/>
    <w:qFormat/>
    <w:uiPriority w:val="39"/>
    <w:pPr>
      <w:ind w:left="2520" w:leftChars="1200"/>
    </w:pPr>
    <w:rPr>
      <w14:ligatures w14:val="none"/>
    </w:rPr>
  </w:style>
  <w:style w:type="paragraph" w:styleId="9">
    <w:name w:val="Normal Indent"/>
    <w:basedOn w:val="1"/>
    <w:qFormat/>
    <w:uiPriority w:val="0"/>
    <w:pPr>
      <w:ind w:firstLine="420" w:firstLineChars="200"/>
    </w:pPr>
    <w:rPr>
      <w:rFonts w:ascii="Times New Roman" w:hAnsi="Times New Roman" w:eastAsia="宋体" w:cs="Times New Roman"/>
      <w:szCs w:val="20"/>
      <w14:ligatures w14:val="none"/>
    </w:rPr>
  </w:style>
  <w:style w:type="paragraph" w:styleId="10">
    <w:name w:val="annotation text"/>
    <w:basedOn w:val="1"/>
    <w:link w:val="40"/>
    <w:semiHidden/>
    <w:unhideWhenUsed/>
    <w:qFormat/>
    <w:uiPriority w:val="99"/>
    <w:pPr>
      <w:jc w:val="left"/>
    </w:pPr>
  </w:style>
  <w:style w:type="paragraph" w:styleId="11">
    <w:name w:val="Body Text"/>
    <w:basedOn w:val="1"/>
    <w:next w:val="1"/>
    <w:link w:val="35"/>
    <w:unhideWhenUsed/>
    <w:qFormat/>
    <w:uiPriority w:val="99"/>
    <w:pPr>
      <w:spacing w:after="120" w:line="560" w:lineRule="exact"/>
      <w:ind w:firstLine="200" w:firstLineChars="200"/>
    </w:pPr>
    <w:rPr>
      <w:rFonts w:ascii="Times New Roman" w:hAnsi="Times New Roman" w:eastAsia="仿宋_GB2312" w:cs="Times New Roman"/>
      <w:sz w:val="32"/>
      <w:szCs w:val="20"/>
      <w14:ligatures w14:val="none"/>
    </w:rPr>
  </w:style>
  <w:style w:type="paragraph" w:styleId="12">
    <w:name w:val="toc 5"/>
    <w:basedOn w:val="1"/>
    <w:next w:val="1"/>
    <w:unhideWhenUsed/>
    <w:qFormat/>
    <w:uiPriority w:val="39"/>
    <w:pPr>
      <w:ind w:left="1680" w:leftChars="800"/>
    </w:pPr>
    <w:rPr>
      <w14:ligatures w14:val="none"/>
    </w:rPr>
  </w:style>
  <w:style w:type="paragraph" w:styleId="13">
    <w:name w:val="toc 3"/>
    <w:basedOn w:val="1"/>
    <w:next w:val="1"/>
    <w:unhideWhenUsed/>
    <w:qFormat/>
    <w:uiPriority w:val="39"/>
    <w:pPr>
      <w:ind w:left="840" w:leftChars="400"/>
    </w:pPr>
  </w:style>
  <w:style w:type="paragraph" w:styleId="14">
    <w:name w:val="toc 8"/>
    <w:basedOn w:val="1"/>
    <w:next w:val="1"/>
    <w:unhideWhenUsed/>
    <w:qFormat/>
    <w:uiPriority w:val="39"/>
    <w:pPr>
      <w:ind w:left="2940" w:leftChars="1400"/>
    </w:pPr>
    <w:rPr>
      <w14:ligatures w14:val="none"/>
    </w:rPr>
  </w:style>
  <w:style w:type="paragraph" w:styleId="15">
    <w:name w:val="Balloon Text"/>
    <w:basedOn w:val="1"/>
    <w:link w:val="37"/>
    <w:semiHidden/>
    <w:unhideWhenUsed/>
    <w:qFormat/>
    <w:uiPriority w:val="99"/>
    <w:rPr>
      <w:sz w:val="18"/>
      <w:szCs w:val="18"/>
    </w:rPr>
  </w:style>
  <w:style w:type="paragraph" w:styleId="16">
    <w:name w:val="footer"/>
    <w:basedOn w:val="1"/>
    <w:link w:val="33"/>
    <w:unhideWhenUsed/>
    <w:qFormat/>
    <w:uiPriority w:val="99"/>
    <w:pPr>
      <w:tabs>
        <w:tab w:val="center" w:pos="4153"/>
        <w:tab w:val="right" w:pos="8306"/>
      </w:tabs>
      <w:snapToGrid w:val="0"/>
      <w:jc w:val="left"/>
    </w:pPr>
    <w:rPr>
      <w:sz w:val="18"/>
      <w:szCs w:val="18"/>
    </w:rPr>
  </w:style>
  <w:style w:type="paragraph" w:styleId="17">
    <w:name w:val="header"/>
    <w:basedOn w:val="1"/>
    <w:link w:val="32"/>
    <w:unhideWhenUsed/>
    <w:qFormat/>
    <w:uiPriority w:val="99"/>
    <w:pP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tabs>
        <w:tab w:val="right" w:leader="dot" w:pos="8296"/>
      </w:tabs>
      <w:spacing w:line="380" w:lineRule="exact"/>
      <w:ind w:left="1260" w:leftChars="600"/>
    </w:pPr>
  </w:style>
  <w:style w:type="paragraph" w:styleId="20">
    <w:name w:val="toc 6"/>
    <w:basedOn w:val="1"/>
    <w:next w:val="1"/>
    <w:unhideWhenUsed/>
    <w:qFormat/>
    <w:uiPriority w:val="39"/>
    <w:pPr>
      <w:ind w:left="2100" w:leftChars="1000"/>
    </w:pPr>
    <w:rPr>
      <w14:ligatures w14:val="none"/>
    </w:r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ind w:left="3360" w:leftChars="1600"/>
    </w:pPr>
    <w:rPr>
      <w14:ligatures w14:val="none"/>
    </w:rPr>
  </w:style>
  <w:style w:type="paragraph" w:styleId="23">
    <w:name w:val="Normal (Web)"/>
    <w:basedOn w:val="1"/>
    <w:unhideWhenUsed/>
    <w:qFormat/>
    <w:uiPriority w:val="0"/>
    <w:rPr>
      <w:rFonts w:ascii="Times New Roman" w:hAnsi="Times New Roman" w:cs="Times New Roman"/>
      <w:sz w:val="24"/>
      <w:szCs w:val="24"/>
    </w:rPr>
  </w:style>
  <w:style w:type="paragraph" w:styleId="24">
    <w:name w:val="annotation subject"/>
    <w:basedOn w:val="10"/>
    <w:next w:val="10"/>
    <w:link w:val="41"/>
    <w:semiHidden/>
    <w:unhideWhenUsed/>
    <w:qFormat/>
    <w:uiPriority w:val="99"/>
    <w:rPr>
      <w:b/>
      <w:bCs/>
    </w:rPr>
  </w:style>
  <w:style w:type="paragraph" w:styleId="25">
    <w:name w:val="Body Text First Indent"/>
    <w:basedOn w:val="11"/>
    <w:link w:val="68"/>
    <w:semiHidden/>
    <w:unhideWhenUsed/>
    <w:qFormat/>
    <w:uiPriority w:val="99"/>
    <w:pPr>
      <w:spacing w:line="240" w:lineRule="auto"/>
      <w:ind w:firstLine="420" w:firstLineChars="100"/>
    </w:pPr>
    <w:rPr>
      <w:rFonts w:asciiTheme="minorHAnsi" w:hAnsiTheme="minorHAnsi" w:eastAsiaTheme="minorEastAsia" w:cstheme="minorBidi"/>
      <w:sz w:val="21"/>
      <w:szCs w:val="22"/>
      <w14:ligatures w14:val="standardContextual"/>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FollowedHyperlink"/>
    <w:basedOn w:val="28"/>
    <w:semiHidden/>
    <w:unhideWhenUsed/>
    <w:qFormat/>
    <w:uiPriority w:val="99"/>
    <w:rPr>
      <w:color w:val="954F72"/>
      <w:u w:val="single"/>
    </w:rPr>
  </w:style>
  <w:style w:type="character" w:styleId="30">
    <w:name w:val="Hyperlink"/>
    <w:basedOn w:val="28"/>
    <w:unhideWhenUsed/>
    <w:qFormat/>
    <w:uiPriority w:val="99"/>
    <w:rPr>
      <w:color w:val="0563C1" w:themeColor="hyperlink"/>
      <w:u w:val="single"/>
      <w14:textFill>
        <w14:solidFill>
          <w14:schemeClr w14:val="hlink"/>
        </w14:solidFill>
      </w14:textFill>
    </w:rPr>
  </w:style>
  <w:style w:type="character" w:styleId="31">
    <w:name w:val="annotation reference"/>
    <w:basedOn w:val="28"/>
    <w:semiHidden/>
    <w:unhideWhenUsed/>
    <w:qFormat/>
    <w:uiPriority w:val="99"/>
    <w:rPr>
      <w:sz w:val="21"/>
      <w:szCs w:val="21"/>
    </w:rPr>
  </w:style>
  <w:style w:type="character" w:customStyle="1" w:styleId="32">
    <w:name w:val="页眉 字符"/>
    <w:basedOn w:val="28"/>
    <w:link w:val="17"/>
    <w:qFormat/>
    <w:uiPriority w:val="99"/>
    <w:rPr>
      <w:sz w:val="18"/>
      <w:szCs w:val="18"/>
    </w:rPr>
  </w:style>
  <w:style w:type="character" w:customStyle="1" w:styleId="33">
    <w:name w:val="页脚 字符"/>
    <w:basedOn w:val="28"/>
    <w:link w:val="16"/>
    <w:qFormat/>
    <w:uiPriority w:val="99"/>
    <w:rPr>
      <w:sz w:val="18"/>
      <w:szCs w:val="18"/>
    </w:rPr>
  </w:style>
  <w:style w:type="paragraph" w:customStyle="1" w:styleId="34">
    <w:name w:val="修订1"/>
    <w:hidden/>
    <w:semiHidden/>
    <w:qFormat/>
    <w:uiPriority w:val="99"/>
    <w:rPr>
      <w:rFonts w:asciiTheme="minorHAnsi" w:hAnsiTheme="minorHAnsi" w:eastAsiaTheme="minorEastAsia" w:cstheme="minorBidi"/>
      <w:kern w:val="2"/>
      <w:sz w:val="21"/>
      <w:szCs w:val="22"/>
      <w:lang w:val="en-US" w:eastAsia="zh-CN" w:bidi="ar-SA"/>
      <w14:ligatures w14:val="standardContextual"/>
    </w:rPr>
  </w:style>
  <w:style w:type="character" w:customStyle="1" w:styleId="35">
    <w:name w:val="正文文本 字符"/>
    <w:basedOn w:val="28"/>
    <w:link w:val="11"/>
    <w:qFormat/>
    <w:uiPriority w:val="99"/>
    <w:rPr>
      <w:rFonts w:ascii="Times New Roman" w:hAnsi="Times New Roman" w:eastAsia="仿宋_GB2312" w:cs="Times New Roman"/>
      <w:sz w:val="32"/>
      <w:szCs w:val="20"/>
      <w14:ligatures w14:val="none"/>
    </w:rPr>
  </w:style>
  <w:style w:type="table" w:customStyle="1" w:styleId="36">
    <w:name w:val="Table Normal"/>
    <w:semiHidden/>
    <w:unhideWhenUsed/>
    <w:qFormat/>
    <w:uiPriority w:val="0"/>
    <w:rPr>
      <w:rFonts w:ascii="Arial" w:hAnsi="Arial" w:cs="Arial"/>
      <w:snapToGrid w:val="0"/>
      <w:color w:val="000000"/>
      <w:szCs w:val="21"/>
      <w:lang w:eastAsia="en-US"/>
    </w:rPr>
    <w:tblPr>
      <w:tblCellMar>
        <w:top w:w="0" w:type="dxa"/>
        <w:left w:w="0" w:type="dxa"/>
        <w:bottom w:w="0" w:type="dxa"/>
        <w:right w:w="0" w:type="dxa"/>
      </w:tblCellMar>
    </w:tblPr>
  </w:style>
  <w:style w:type="character" w:customStyle="1" w:styleId="37">
    <w:name w:val="批注框文本 字符"/>
    <w:basedOn w:val="28"/>
    <w:link w:val="15"/>
    <w:semiHidden/>
    <w:qFormat/>
    <w:uiPriority w:val="99"/>
    <w:rPr>
      <w:sz w:val="18"/>
      <w:szCs w:val="18"/>
    </w:rPr>
  </w:style>
  <w:style w:type="character" w:customStyle="1" w:styleId="38">
    <w:name w:val="未处理的提及1"/>
    <w:basedOn w:val="28"/>
    <w:semiHidden/>
    <w:unhideWhenUsed/>
    <w:qFormat/>
    <w:uiPriority w:val="99"/>
    <w:rPr>
      <w:color w:val="605E5C"/>
      <w:shd w:val="clear" w:color="auto" w:fill="E1DFDD"/>
    </w:rPr>
  </w:style>
  <w:style w:type="paragraph" w:styleId="39">
    <w:name w:val="List Paragraph"/>
    <w:basedOn w:val="1"/>
    <w:qFormat/>
    <w:uiPriority w:val="34"/>
    <w:pPr>
      <w:ind w:firstLine="420" w:firstLineChars="200"/>
    </w:pPr>
  </w:style>
  <w:style w:type="character" w:customStyle="1" w:styleId="40">
    <w:name w:val="批注文字 字符"/>
    <w:basedOn w:val="28"/>
    <w:link w:val="10"/>
    <w:semiHidden/>
    <w:qFormat/>
    <w:uiPriority w:val="99"/>
  </w:style>
  <w:style w:type="character" w:customStyle="1" w:styleId="41">
    <w:name w:val="批注主题 字符"/>
    <w:basedOn w:val="40"/>
    <w:link w:val="24"/>
    <w:semiHidden/>
    <w:qFormat/>
    <w:uiPriority w:val="99"/>
    <w:rPr>
      <w:b/>
      <w:bCs/>
    </w:rPr>
  </w:style>
  <w:style w:type="paragraph" w:customStyle="1" w:styleId="42">
    <w:name w:val="修订2"/>
    <w:hidden/>
    <w:semiHidden/>
    <w:qFormat/>
    <w:uiPriority w:val="99"/>
    <w:rPr>
      <w:rFonts w:asciiTheme="minorHAnsi" w:hAnsiTheme="minorHAnsi" w:eastAsiaTheme="minorEastAsia" w:cstheme="minorBidi"/>
      <w:kern w:val="2"/>
      <w:sz w:val="21"/>
      <w:szCs w:val="22"/>
      <w:lang w:val="en-US" w:eastAsia="zh-CN" w:bidi="ar-SA"/>
      <w14:ligatures w14:val="standardContextual"/>
    </w:rPr>
  </w:style>
  <w:style w:type="paragraph" w:customStyle="1" w:styleId="43">
    <w:name w:val="msonormal"/>
    <w:basedOn w:val="1"/>
    <w:qFormat/>
    <w:uiPriority w:val="0"/>
    <w:pPr>
      <w:widowControl/>
      <w:spacing w:before="100" w:beforeAutospacing="1" w:after="100" w:afterAutospacing="1"/>
      <w:jc w:val="left"/>
    </w:pPr>
    <w:rPr>
      <w:rFonts w:ascii="宋体" w:hAnsi="宋体" w:eastAsia="宋体" w:cs="宋体"/>
      <w:kern w:val="0"/>
      <w:sz w:val="24"/>
      <w:szCs w:val="24"/>
      <w14:ligatures w14:val="none"/>
    </w:rPr>
  </w:style>
  <w:style w:type="paragraph" w:customStyle="1" w:styleId="44">
    <w:name w:val="font5"/>
    <w:basedOn w:val="1"/>
    <w:qFormat/>
    <w:uiPriority w:val="0"/>
    <w:pPr>
      <w:widowControl/>
      <w:spacing w:before="100" w:beforeAutospacing="1" w:after="100" w:afterAutospacing="1"/>
      <w:jc w:val="left"/>
    </w:pPr>
    <w:rPr>
      <w:rFonts w:ascii="等线" w:hAnsi="等线" w:eastAsia="等线" w:cs="宋体"/>
      <w:kern w:val="0"/>
      <w:sz w:val="18"/>
      <w:szCs w:val="18"/>
      <w14:ligatures w14:val="none"/>
    </w:rPr>
  </w:style>
  <w:style w:type="paragraph" w:customStyle="1" w:styleId="45">
    <w:name w:val="font6"/>
    <w:basedOn w:val="1"/>
    <w:qFormat/>
    <w:uiPriority w:val="0"/>
    <w:pPr>
      <w:widowControl/>
      <w:spacing w:before="100" w:beforeAutospacing="1" w:after="100" w:afterAutospacing="1"/>
      <w:jc w:val="left"/>
    </w:pPr>
    <w:rPr>
      <w:rFonts w:ascii="等线" w:hAnsi="等线" w:eastAsia="等线" w:cs="宋体"/>
      <w:kern w:val="0"/>
      <w:sz w:val="18"/>
      <w:szCs w:val="18"/>
      <w14:ligatures w14:val="none"/>
    </w:rPr>
  </w:style>
  <w:style w:type="paragraph" w:customStyle="1" w:styleId="46">
    <w:name w:val="font7"/>
    <w:basedOn w:val="1"/>
    <w:qFormat/>
    <w:uiPriority w:val="0"/>
    <w:pPr>
      <w:widowControl/>
      <w:spacing w:before="100" w:beforeAutospacing="1" w:after="100" w:afterAutospacing="1"/>
      <w:jc w:val="left"/>
    </w:pPr>
    <w:rPr>
      <w:rFonts w:ascii="方正仿宋_GBK" w:hAnsi="宋体" w:eastAsia="方正仿宋_GBK" w:cs="宋体"/>
      <w:kern w:val="0"/>
      <w:sz w:val="22"/>
      <w14:ligatures w14:val="none"/>
    </w:rPr>
  </w:style>
  <w:style w:type="paragraph" w:customStyle="1" w:styleId="47">
    <w:name w:val="font8"/>
    <w:basedOn w:val="1"/>
    <w:qFormat/>
    <w:uiPriority w:val="0"/>
    <w:pPr>
      <w:widowControl/>
      <w:spacing w:before="100" w:beforeAutospacing="1" w:after="100" w:afterAutospacing="1"/>
      <w:jc w:val="left"/>
    </w:pPr>
    <w:rPr>
      <w:rFonts w:ascii="方正仿宋_GBK" w:hAnsi="宋体" w:eastAsia="方正仿宋_GBK" w:cs="宋体"/>
      <w:color w:val="000000"/>
      <w:kern w:val="0"/>
      <w:sz w:val="22"/>
      <w14:ligatures w14:val="none"/>
    </w:rPr>
  </w:style>
  <w:style w:type="paragraph" w:customStyle="1" w:styleId="4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14:ligatures w14:val="none"/>
    </w:rPr>
  </w:style>
  <w:style w:type="paragraph" w:customStyle="1" w:styleId="4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14:ligatures w14:val="none"/>
    </w:rPr>
  </w:style>
  <w:style w:type="paragraph" w:customStyle="1" w:styleId="5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14:ligatures w14:val="none"/>
    </w:rPr>
  </w:style>
  <w:style w:type="paragraph" w:customStyle="1" w:styleId="5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黑体_GBK" w:hAnsi="宋体" w:eastAsia="方正黑体_GBK" w:cs="宋体"/>
      <w:kern w:val="0"/>
      <w:sz w:val="24"/>
      <w:szCs w:val="24"/>
      <w14:ligatures w14:val="none"/>
    </w:rPr>
  </w:style>
  <w:style w:type="paragraph" w:customStyle="1" w:styleId="5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14:ligatures w14:val="none"/>
    </w:rPr>
  </w:style>
  <w:style w:type="paragraph" w:customStyle="1" w:styleId="5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14:ligatures w14:val="none"/>
    </w:rPr>
  </w:style>
  <w:style w:type="paragraph" w:customStyle="1" w:styleId="5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14:ligatures w14:val="none"/>
    </w:rPr>
  </w:style>
  <w:style w:type="paragraph" w:customStyle="1" w:styleId="5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14:ligatures w14:val="none"/>
    </w:rPr>
  </w:style>
  <w:style w:type="paragraph" w:customStyle="1" w:styleId="5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14:ligatures w14:val="none"/>
    </w:rPr>
  </w:style>
  <w:style w:type="paragraph" w:customStyle="1" w:styleId="5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14:ligatures w14:val="none"/>
    </w:rPr>
  </w:style>
  <w:style w:type="paragraph" w:customStyle="1" w:styleId="58">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方正黑体_GBK" w:hAnsi="宋体" w:eastAsia="方正黑体_GBK" w:cs="宋体"/>
      <w:kern w:val="0"/>
      <w:sz w:val="24"/>
      <w:szCs w:val="24"/>
      <w14:ligatures w14:val="none"/>
    </w:rPr>
  </w:style>
  <w:style w:type="paragraph" w:customStyle="1" w:styleId="59">
    <w:name w:val="xl7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方正黑体_GBK" w:hAnsi="宋体" w:eastAsia="方正黑体_GBK" w:cs="宋体"/>
      <w:kern w:val="0"/>
      <w:sz w:val="24"/>
      <w:szCs w:val="24"/>
      <w14:ligatures w14:val="none"/>
    </w:rPr>
  </w:style>
  <w:style w:type="paragraph" w:customStyle="1" w:styleId="60">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方正黑体_GBK" w:hAnsi="宋体" w:eastAsia="方正黑体_GBK" w:cs="宋体"/>
      <w:kern w:val="0"/>
      <w:sz w:val="24"/>
      <w:szCs w:val="24"/>
      <w14:ligatures w14:val="none"/>
    </w:rPr>
  </w:style>
  <w:style w:type="paragraph" w:customStyle="1" w:styleId="61">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方正黑体_GBK" w:hAnsi="宋体" w:eastAsia="方正黑体_GBK" w:cs="宋体"/>
      <w:kern w:val="0"/>
      <w:sz w:val="24"/>
      <w:szCs w:val="24"/>
      <w14:ligatures w14:val="none"/>
    </w:rPr>
  </w:style>
  <w:style w:type="paragraph" w:customStyle="1" w:styleId="62">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14:ligatures w14:val="none"/>
    </w:rPr>
  </w:style>
  <w:style w:type="paragraph" w:customStyle="1" w:styleId="63">
    <w:name w:val="xl8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14:ligatures w14:val="none"/>
    </w:rPr>
  </w:style>
  <w:style w:type="paragraph" w:customStyle="1" w:styleId="64">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14:ligatures w14:val="none"/>
    </w:rPr>
  </w:style>
  <w:style w:type="paragraph" w:customStyle="1" w:styleId="65">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kern w:val="0"/>
      <w:sz w:val="24"/>
      <w:szCs w:val="24"/>
      <w14:ligatures w14:val="none"/>
    </w:rPr>
  </w:style>
  <w:style w:type="paragraph" w:customStyle="1" w:styleId="66">
    <w:name w:val="xl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14:ligatures w14:val="none"/>
    </w:rPr>
  </w:style>
  <w:style w:type="paragraph" w:customStyle="1" w:styleId="67">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方正仿宋_GBK" w:hAnsi="宋体" w:eastAsia="方正仿宋_GBK" w:cs="宋体"/>
      <w:kern w:val="0"/>
      <w:sz w:val="24"/>
      <w:szCs w:val="24"/>
      <w14:ligatures w14:val="none"/>
    </w:rPr>
  </w:style>
  <w:style w:type="character" w:customStyle="1" w:styleId="68">
    <w:name w:val="正文文本首行缩进 字符"/>
    <w:basedOn w:val="35"/>
    <w:link w:val="25"/>
    <w:semiHidden/>
    <w:qFormat/>
    <w:uiPriority w:val="99"/>
    <w:rPr>
      <w:rFonts w:ascii="Times New Roman" w:hAnsi="Times New Roman" w:eastAsia="仿宋_GB2312" w:cs="Times New Roman"/>
      <w:kern w:val="2"/>
      <w:sz w:val="21"/>
      <w:szCs w:val="22"/>
      <w14:ligatures w14:val="standardContextual"/>
    </w:rPr>
  </w:style>
  <w:style w:type="paragraph" w:customStyle="1" w:styleId="69">
    <w:name w:val="p0"/>
    <w:basedOn w:val="1"/>
    <w:qFormat/>
    <w:uiPriority w:val="0"/>
    <w:pPr>
      <w:widowControl/>
      <w:spacing w:beforeLines="50" w:line="360" w:lineRule="auto"/>
      <w:ind w:firstLine="420"/>
    </w:pPr>
    <w:rPr>
      <w:rFonts w:ascii="Calibri" w:hAnsi="Calibri" w:cs="宋体"/>
      <w:kern w:val="0"/>
      <w:szCs w:val="21"/>
    </w:rPr>
  </w:style>
  <w:style w:type="paragraph" w:customStyle="1" w:styleId="70">
    <w:name w:val="修订3"/>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character" w:customStyle="1" w:styleId="71">
    <w:name w:val="font11"/>
    <w:basedOn w:val="28"/>
    <w:qFormat/>
    <w:uiPriority w:val="0"/>
    <w:rPr>
      <w:rFonts w:hint="eastAsia" w:ascii="方正黑体_GBK" w:eastAsia="方正黑体_GBK"/>
      <w:color w:val="000000"/>
      <w:sz w:val="21"/>
      <w:szCs w:val="21"/>
      <w:u w:val="none"/>
    </w:rPr>
  </w:style>
  <w:style w:type="character" w:customStyle="1" w:styleId="72">
    <w:name w:val="font21"/>
    <w:basedOn w:val="28"/>
    <w:qFormat/>
    <w:uiPriority w:val="0"/>
    <w:rPr>
      <w:rFonts w:hint="default" w:ascii="Times New Roman" w:hAnsi="Times New Roman" w:cs="Times New Roman"/>
      <w:color w:val="000000"/>
      <w:sz w:val="21"/>
      <w:szCs w:val="21"/>
      <w:u w:val="none"/>
    </w:rPr>
  </w:style>
  <w:style w:type="character" w:customStyle="1" w:styleId="73">
    <w:name w:val="font31"/>
    <w:basedOn w:val="28"/>
    <w:qFormat/>
    <w:uiPriority w:val="0"/>
    <w:rPr>
      <w:rFonts w:hint="eastAsia" w:ascii="方正仿宋_GBK" w:eastAsia="方正仿宋_GBK"/>
      <w:color w:val="000000"/>
      <w:sz w:val="21"/>
      <w:szCs w:val="21"/>
      <w:u w:val="none"/>
    </w:rPr>
  </w:style>
  <w:style w:type="character" w:customStyle="1" w:styleId="74">
    <w:name w:val="font41"/>
    <w:basedOn w:val="28"/>
    <w:qFormat/>
    <w:uiPriority w:val="0"/>
    <w:rPr>
      <w:rFonts w:hint="eastAsia" w:ascii="方正仿宋_GBK" w:eastAsia="方正仿宋_GBK"/>
      <w:color w:val="000000"/>
      <w:sz w:val="21"/>
      <w:szCs w:val="21"/>
      <w:u w:val="none"/>
    </w:rPr>
  </w:style>
  <w:style w:type="character" w:customStyle="1" w:styleId="75">
    <w:name w:val="font71"/>
    <w:basedOn w:val="28"/>
    <w:qFormat/>
    <w:uiPriority w:val="0"/>
    <w:rPr>
      <w:rFonts w:hint="eastAsia" w:ascii="方正仿宋_GBK" w:eastAsia="方正仿宋_GBK"/>
      <w:color w:val="000000"/>
      <w:sz w:val="22"/>
      <w:szCs w:val="22"/>
      <w:u w:val="none"/>
    </w:rPr>
  </w:style>
  <w:style w:type="character" w:customStyle="1" w:styleId="76">
    <w:name w:val="font51"/>
    <w:basedOn w:val="28"/>
    <w:qFormat/>
    <w:uiPriority w:val="0"/>
    <w:rPr>
      <w:rFonts w:hint="eastAsia" w:ascii="方正仿宋_GBK" w:eastAsia="方正仿宋_GBK"/>
      <w:color w:val="000000"/>
      <w:sz w:val="20"/>
      <w:szCs w:val="20"/>
      <w:u w:val="none"/>
    </w:rPr>
  </w:style>
  <w:style w:type="character" w:customStyle="1" w:styleId="77">
    <w:name w:val="未处理的提及2"/>
    <w:basedOn w:val="28"/>
    <w:semiHidden/>
    <w:unhideWhenUsed/>
    <w:qFormat/>
    <w:uiPriority w:val="99"/>
    <w:rPr>
      <w:color w:val="605E5C"/>
      <w:shd w:val="clear" w:color="auto" w:fill="E1DFDD"/>
    </w:rPr>
  </w:style>
  <w:style w:type="paragraph" w:customStyle="1" w:styleId="78">
    <w:name w:val="修订4"/>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character" w:customStyle="1" w:styleId="79">
    <w:name w:val="未处理的提及3"/>
    <w:basedOn w:val="28"/>
    <w:semiHidden/>
    <w:unhideWhenUsed/>
    <w:qFormat/>
    <w:uiPriority w:val="99"/>
    <w:rPr>
      <w:color w:val="605E5C"/>
      <w:shd w:val="clear" w:color="auto" w:fill="E1DFDD"/>
    </w:rPr>
  </w:style>
  <w:style w:type="character" w:customStyle="1" w:styleId="80">
    <w:name w:val="未处理的提及4"/>
    <w:basedOn w:val="28"/>
    <w:semiHidden/>
    <w:unhideWhenUsed/>
    <w:qFormat/>
    <w:uiPriority w:val="99"/>
    <w:rPr>
      <w:color w:val="605E5C"/>
      <w:shd w:val="clear" w:color="auto" w:fill="E1DFDD"/>
    </w:rPr>
  </w:style>
  <w:style w:type="paragraph" w:customStyle="1" w:styleId="81">
    <w:name w:val="修订5"/>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paragraph" w:customStyle="1" w:styleId="82">
    <w:name w:val="修订6"/>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paragraph" w:customStyle="1" w:styleId="83">
    <w:name w:val="Revision"/>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 w:type="character" w:customStyle="1" w:styleId="84">
    <w:name w:val="Unresolved Mention"/>
    <w:basedOn w:val="2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CF2CAC-1F93-4BA4-A7E5-6B83D521DD4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56</Pages>
  <Words>30244</Words>
  <Characters>31438</Characters>
  <Lines>292</Lines>
  <Paragraphs>82</Paragraphs>
  <TotalTime>5</TotalTime>
  <ScaleCrop>false</ScaleCrop>
  <LinksUpToDate>false</LinksUpToDate>
  <CharactersWithSpaces>31520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2023-10-10T01:58:00Z</dcterms:created>
  <dc:creator>春阳 韩</dc:creator>
  <cp:lastModifiedBy>Administrator</cp:lastModifiedBy>
  <cp:lastPrinted>2024-03-12T02:39:00Z</cp:lastPrinted>
  <dcterms:modified xsi:type="dcterms:W3CDTF">2024-03-12T07:13:47Z</dcterms:modified>
  <cp:revision>4129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412D559894804D8C9DFD1D080A9B54F5</vt:lpwstr>
  </property>
</Properties>
</file>